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25D71" w14:textId="77777777" w:rsidR="000608B7" w:rsidRPr="002931EA" w:rsidRDefault="000608B7">
      <w:pPr>
        <w:rPr>
          <w:rFonts w:ascii="Times New Roman" w:hAnsi="Times New Roman" w:cs="Times New Roman"/>
          <w:sz w:val="24"/>
          <w:szCs w:val="24"/>
        </w:rPr>
      </w:pPr>
    </w:p>
    <w:p w14:paraId="3D77793D" w14:textId="77777777" w:rsidR="005071E0" w:rsidRPr="002931EA" w:rsidRDefault="005071E0">
      <w:pPr>
        <w:rPr>
          <w:rFonts w:ascii="Times New Roman" w:hAnsi="Times New Roman" w:cs="Times New Roman"/>
          <w:sz w:val="24"/>
          <w:szCs w:val="24"/>
        </w:rPr>
      </w:pPr>
    </w:p>
    <w:tbl>
      <w:tblPr>
        <w:tblStyle w:val="TableGrid"/>
        <w:tblW w:w="9535" w:type="dxa"/>
        <w:tblLook w:val="04A0" w:firstRow="1" w:lastRow="0" w:firstColumn="1" w:lastColumn="0" w:noHBand="0" w:noVBand="1"/>
      </w:tblPr>
      <w:tblGrid>
        <w:gridCol w:w="4675"/>
        <w:gridCol w:w="4860"/>
      </w:tblGrid>
      <w:tr w:rsidR="005071E0" w:rsidRPr="002931EA" w14:paraId="25562258" w14:textId="77777777" w:rsidTr="00D17C3D">
        <w:tc>
          <w:tcPr>
            <w:tcW w:w="4675" w:type="dxa"/>
            <w:tcBorders>
              <w:top w:val="nil"/>
              <w:left w:val="nil"/>
              <w:bottom w:val="nil"/>
              <w:right w:val="nil"/>
            </w:tcBorders>
          </w:tcPr>
          <w:p w14:paraId="2B72F40D" w14:textId="77777777" w:rsidR="005071E0" w:rsidRPr="002931EA" w:rsidRDefault="005071E0" w:rsidP="00AA1A93">
            <w:pPr>
              <w:rPr>
                <w:rFonts w:ascii="Times New Roman" w:hAnsi="Times New Roman" w:cs="Times New Roman"/>
                <w:sz w:val="24"/>
                <w:szCs w:val="24"/>
              </w:rPr>
            </w:pPr>
            <w:r w:rsidRPr="002931EA">
              <w:rPr>
                <w:rFonts w:ascii="Times New Roman" w:hAnsi="Times New Roman" w:cs="Times New Roman"/>
                <w:b/>
                <w:sz w:val="24"/>
                <w:szCs w:val="24"/>
              </w:rPr>
              <w:t>Category:</w:t>
            </w:r>
            <w:r w:rsidRPr="002931EA">
              <w:rPr>
                <w:rFonts w:ascii="Times New Roman" w:hAnsi="Times New Roman" w:cs="Times New Roman"/>
                <w:sz w:val="24"/>
                <w:szCs w:val="24"/>
              </w:rPr>
              <w:t xml:space="preserve"> </w:t>
            </w:r>
            <w:r w:rsidR="00AA1A93" w:rsidRPr="002931EA">
              <w:rPr>
                <w:rFonts w:ascii="Times New Roman" w:hAnsi="Times New Roman" w:cs="Times New Roman"/>
                <w:sz w:val="24"/>
                <w:szCs w:val="24"/>
              </w:rPr>
              <w:t>Post-Award</w:t>
            </w:r>
          </w:p>
        </w:tc>
        <w:tc>
          <w:tcPr>
            <w:tcW w:w="4860" w:type="dxa"/>
            <w:tcBorders>
              <w:top w:val="nil"/>
              <w:left w:val="nil"/>
              <w:bottom w:val="nil"/>
              <w:right w:val="nil"/>
            </w:tcBorders>
          </w:tcPr>
          <w:p w14:paraId="740956DC" w14:textId="3609388B" w:rsidR="005071E0" w:rsidRPr="002931EA" w:rsidRDefault="005071E0" w:rsidP="00D94112">
            <w:pPr>
              <w:jc w:val="right"/>
              <w:rPr>
                <w:rFonts w:ascii="Times New Roman" w:hAnsi="Times New Roman" w:cs="Times New Roman"/>
                <w:sz w:val="24"/>
                <w:szCs w:val="24"/>
              </w:rPr>
            </w:pPr>
            <w:r w:rsidRPr="002931EA">
              <w:rPr>
                <w:rFonts w:ascii="Times New Roman" w:hAnsi="Times New Roman" w:cs="Times New Roman"/>
                <w:b/>
                <w:sz w:val="24"/>
                <w:szCs w:val="24"/>
              </w:rPr>
              <w:t xml:space="preserve">Date Established: </w:t>
            </w:r>
            <w:r w:rsidR="00D94112">
              <w:rPr>
                <w:rFonts w:ascii="Times New Roman" w:hAnsi="Times New Roman" w:cs="Times New Roman"/>
                <w:b/>
                <w:sz w:val="24"/>
                <w:szCs w:val="24"/>
              </w:rPr>
              <w:t>07/01/2018</w:t>
            </w:r>
          </w:p>
        </w:tc>
      </w:tr>
      <w:tr w:rsidR="005071E0" w:rsidRPr="002931EA" w14:paraId="0F18FEBD" w14:textId="77777777" w:rsidTr="00D17C3D">
        <w:tc>
          <w:tcPr>
            <w:tcW w:w="4675" w:type="dxa"/>
            <w:tcBorders>
              <w:top w:val="nil"/>
              <w:left w:val="nil"/>
              <w:bottom w:val="nil"/>
              <w:right w:val="nil"/>
            </w:tcBorders>
          </w:tcPr>
          <w:p w14:paraId="74705D83" w14:textId="4C2AC361" w:rsidR="005071E0" w:rsidRPr="002931EA" w:rsidRDefault="005071E0" w:rsidP="00DB48B5">
            <w:pPr>
              <w:rPr>
                <w:rFonts w:ascii="Times New Roman" w:hAnsi="Times New Roman" w:cs="Times New Roman"/>
                <w:sz w:val="24"/>
                <w:szCs w:val="24"/>
              </w:rPr>
            </w:pPr>
          </w:p>
        </w:tc>
        <w:tc>
          <w:tcPr>
            <w:tcW w:w="4860" w:type="dxa"/>
            <w:tcBorders>
              <w:top w:val="nil"/>
              <w:left w:val="nil"/>
              <w:bottom w:val="nil"/>
              <w:right w:val="nil"/>
            </w:tcBorders>
          </w:tcPr>
          <w:p w14:paraId="15C058BD" w14:textId="488B015C" w:rsidR="005071E0" w:rsidRPr="002931EA" w:rsidRDefault="005071E0" w:rsidP="00D94112">
            <w:pPr>
              <w:jc w:val="right"/>
              <w:rPr>
                <w:rFonts w:ascii="Times New Roman" w:hAnsi="Times New Roman" w:cs="Times New Roman"/>
                <w:sz w:val="24"/>
                <w:szCs w:val="24"/>
              </w:rPr>
            </w:pPr>
            <w:r w:rsidRPr="002931EA">
              <w:rPr>
                <w:rFonts w:ascii="Times New Roman" w:hAnsi="Times New Roman" w:cs="Times New Roman"/>
                <w:b/>
                <w:sz w:val="24"/>
                <w:szCs w:val="24"/>
              </w:rPr>
              <w:t xml:space="preserve">Date Last Revised: </w:t>
            </w:r>
            <w:r w:rsidR="00D94112" w:rsidRPr="00D94112">
              <w:rPr>
                <w:rFonts w:ascii="Times New Roman" w:hAnsi="Times New Roman" w:cs="Times New Roman"/>
                <w:b/>
                <w:sz w:val="24"/>
                <w:szCs w:val="24"/>
              </w:rPr>
              <w:t>10/01/2018</w:t>
            </w:r>
          </w:p>
        </w:tc>
      </w:tr>
      <w:tr w:rsidR="005071E0" w:rsidRPr="002931EA" w14:paraId="5D710BE8" w14:textId="77777777" w:rsidTr="00D17C3D">
        <w:tc>
          <w:tcPr>
            <w:tcW w:w="4675" w:type="dxa"/>
            <w:tcBorders>
              <w:top w:val="nil"/>
              <w:left w:val="nil"/>
              <w:bottom w:val="nil"/>
              <w:right w:val="nil"/>
            </w:tcBorders>
          </w:tcPr>
          <w:p w14:paraId="4CF1555A" w14:textId="77777777" w:rsidR="005071E0" w:rsidRPr="002931EA" w:rsidRDefault="005071E0" w:rsidP="00D17C3D">
            <w:pPr>
              <w:rPr>
                <w:rFonts w:ascii="Times New Roman" w:hAnsi="Times New Roman" w:cs="Times New Roman"/>
                <w:sz w:val="24"/>
                <w:szCs w:val="24"/>
              </w:rPr>
            </w:pPr>
          </w:p>
        </w:tc>
        <w:tc>
          <w:tcPr>
            <w:tcW w:w="4860" w:type="dxa"/>
            <w:tcBorders>
              <w:top w:val="nil"/>
              <w:left w:val="nil"/>
              <w:bottom w:val="nil"/>
              <w:right w:val="nil"/>
            </w:tcBorders>
          </w:tcPr>
          <w:p w14:paraId="61643C7A" w14:textId="77777777" w:rsidR="005071E0" w:rsidRPr="002931EA" w:rsidRDefault="005071E0" w:rsidP="00D17C3D">
            <w:pPr>
              <w:rPr>
                <w:rFonts w:ascii="Times New Roman" w:hAnsi="Times New Roman" w:cs="Times New Roman"/>
                <w:sz w:val="24"/>
                <w:szCs w:val="24"/>
              </w:rPr>
            </w:pPr>
          </w:p>
        </w:tc>
      </w:tr>
      <w:tr w:rsidR="005071E0" w:rsidRPr="002931EA" w14:paraId="141D06A9" w14:textId="77777777" w:rsidTr="00D17C3D">
        <w:tc>
          <w:tcPr>
            <w:tcW w:w="9535" w:type="dxa"/>
            <w:gridSpan w:val="2"/>
            <w:tcBorders>
              <w:top w:val="nil"/>
              <w:left w:val="nil"/>
              <w:bottom w:val="nil"/>
              <w:right w:val="nil"/>
            </w:tcBorders>
          </w:tcPr>
          <w:p w14:paraId="54E29939" w14:textId="77777777" w:rsidR="005071E0" w:rsidRPr="002931EA" w:rsidRDefault="005071E0" w:rsidP="00AA1A93">
            <w:pPr>
              <w:rPr>
                <w:rFonts w:ascii="Times New Roman" w:hAnsi="Times New Roman" w:cs="Times New Roman"/>
                <w:b/>
                <w:sz w:val="24"/>
                <w:szCs w:val="24"/>
              </w:rPr>
            </w:pPr>
            <w:r w:rsidRPr="002931EA">
              <w:rPr>
                <w:rFonts w:ascii="Times New Roman" w:hAnsi="Times New Roman" w:cs="Times New Roman"/>
                <w:b/>
                <w:sz w:val="24"/>
                <w:szCs w:val="24"/>
              </w:rPr>
              <w:t>T</w:t>
            </w:r>
            <w:r w:rsidR="00FA16E2" w:rsidRPr="002931EA">
              <w:rPr>
                <w:rFonts w:ascii="Times New Roman" w:hAnsi="Times New Roman" w:cs="Times New Roman"/>
                <w:b/>
                <w:sz w:val="24"/>
                <w:szCs w:val="24"/>
              </w:rPr>
              <w:t xml:space="preserve">itle: </w:t>
            </w:r>
            <w:r w:rsidR="00AA1A93" w:rsidRPr="002931EA">
              <w:rPr>
                <w:rFonts w:ascii="Times New Roman" w:hAnsi="Times New Roman" w:cs="Times New Roman"/>
                <w:b/>
                <w:sz w:val="24"/>
                <w:szCs w:val="24"/>
              </w:rPr>
              <w:t>Indirect Cost Recovery/Overhead Distribution Policy</w:t>
            </w:r>
            <w:r w:rsidR="00FA16E2" w:rsidRPr="002931EA">
              <w:rPr>
                <w:rFonts w:ascii="Times New Roman" w:hAnsi="Times New Roman" w:cs="Times New Roman"/>
                <w:b/>
                <w:sz w:val="24"/>
                <w:szCs w:val="24"/>
              </w:rPr>
              <w:t xml:space="preserve"> </w:t>
            </w:r>
          </w:p>
        </w:tc>
      </w:tr>
      <w:tr w:rsidR="005071E0" w:rsidRPr="002931EA" w14:paraId="52673AA9" w14:textId="77777777" w:rsidTr="009D4705">
        <w:trPr>
          <w:trHeight w:val="333"/>
        </w:trPr>
        <w:tc>
          <w:tcPr>
            <w:tcW w:w="9535" w:type="dxa"/>
            <w:gridSpan w:val="2"/>
            <w:tcBorders>
              <w:top w:val="nil"/>
              <w:left w:val="nil"/>
              <w:bottom w:val="single" w:sz="12" w:space="0" w:color="auto"/>
              <w:right w:val="nil"/>
            </w:tcBorders>
          </w:tcPr>
          <w:p w14:paraId="38954AE6" w14:textId="77777777" w:rsidR="005071E0" w:rsidRPr="002931EA" w:rsidRDefault="005071E0" w:rsidP="00D17C3D">
            <w:pPr>
              <w:rPr>
                <w:rFonts w:ascii="Times New Roman" w:hAnsi="Times New Roman" w:cs="Times New Roman"/>
                <w:sz w:val="24"/>
                <w:szCs w:val="24"/>
              </w:rPr>
            </w:pPr>
          </w:p>
        </w:tc>
      </w:tr>
    </w:tbl>
    <w:p w14:paraId="53D69791" w14:textId="77777777" w:rsidR="000608B7" w:rsidRPr="009D4705" w:rsidRDefault="009D4705" w:rsidP="009D4705">
      <w:pPr>
        <w:rPr>
          <w:rFonts w:ascii="Times New Roman" w:hAnsi="Times New Roman" w:cs="Times New Roman"/>
          <w:b/>
          <w:sz w:val="24"/>
          <w:szCs w:val="24"/>
        </w:rPr>
      </w:pPr>
      <w:r>
        <w:rPr>
          <w:rFonts w:ascii="Times New Roman" w:hAnsi="Times New Roman" w:cs="Times New Roman"/>
          <w:b/>
          <w:sz w:val="24"/>
          <w:szCs w:val="24"/>
        </w:rPr>
        <w:t xml:space="preserve">1. </w:t>
      </w:r>
      <w:r w:rsidR="000608B7" w:rsidRPr="009D4705">
        <w:rPr>
          <w:rFonts w:ascii="Times New Roman" w:hAnsi="Times New Roman" w:cs="Times New Roman"/>
          <w:b/>
          <w:sz w:val="24"/>
          <w:szCs w:val="24"/>
        </w:rPr>
        <w:t xml:space="preserve">Purpose </w:t>
      </w:r>
    </w:p>
    <w:p w14:paraId="6A81883D" w14:textId="77777777" w:rsidR="001C31B2" w:rsidRPr="00187E2A" w:rsidRDefault="0047409E" w:rsidP="00187E2A">
      <w:pPr>
        <w:pStyle w:val="NoSpacing"/>
        <w:rPr>
          <w:rFonts w:ascii="Times New Roman" w:hAnsi="Times New Roman" w:cs="Times New Roman"/>
          <w:sz w:val="24"/>
          <w:szCs w:val="24"/>
        </w:rPr>
      </w:pPr>
      <w:r w:rsidRPr="00187E2A">
        <w:rPr>
          <w:rFonts w:ascii="Times New Roman" w:hAnsi="Times New Roman" w:cs="Times New Roman"/>
          <w:sz w:val="24"/>
          <w:szCs w:val="24"/>
        </w:rPr>
        <w:t xml:space="preserve">This policy outlines the process </w:t>
      </w:r>
      <w:r w:rsidR="00203C74" w:rsidRPr="00187E2A">
        <w:rPr>
          <w:rFonts w:ascii="Times New Roman" w:hAnsi="Times New Roman" w:cs="Times New Roman"/>
          <w:sz w:val="24"/>
          <w:szCs w:val="24"/>
        </w:rPr>
        <w:t xml:space="preserve">for distributing a portion of a sponsored project’s recovered indirect costs (IDC). </w:t>
      </w:r>
    </w:p>
    <w:p w14:paraId="065481F4" w14:textId="77777777" w:rsidR="0041592B" w:rsidRPr="00187E2A" w:rsidRDefault="0041592B" w:rsidP="00187E2A">
      <w:pPr>
        <w:pStyle w:val="NoSpacing"/>
        <w:rPr>
          <w:rFonts w:ascii="Times New Roman" w:hAnsi="Times New Roman" w:cs="Times New Roman"/>
          <w:sz w:val="24"/>
          <w:szCs w:val="24"/>
        </w:rPr>
      </w:pPr>
    </w:p>
    <w:p w14:paraId="730A0F6E" w14:textId="77777777" w:rsidR="0047409E" w:rsidRDefault="00187E2A" w:rsidP="00187E2A">
      <w:pPr>
        <w:pStyle w:val="NoSpacing"/>
        <w:rPr>
          <w:rFonts w:ascii="Times New Roman" w:hAnsi="Times New Roman" w:cs="Times New Roman"/>
          <w:color w:val="000000"/>
          <w:sz w:val="24"/>
          <w:szCs w:val="24"/>
        </w:rPr>
      </w:pPr>
      <w:r>
        <w:rPr>
          <w:rFonts w:ascii="Times New Roman" w:hAnsi="Times New Roman" w:cs="Times New Roman"/>
          <w:b/>
          <w:color w:val="000000"/>
          <w:sz w:val="24"/>
          <w:szCs w:val="24"/>
        </w:rPr>
        <w:t xml:space="preserve">2. </w:t>
      </w:r>
      <w:r w:rsidR="00490016">
        <w:rPr>
          <w:rFonts w:ascii="Times New Roman" w:hAnsi="Times New Roman" w:cs="Times New Roman"/>
          <w:b/>
          <w:color w:val="000000"/>
          <w:sz w:val="24"/>
          <w:szCs w:val="24"/>
        </w:rPr>
        <w:t>Background</w:t>
      </w:r>
    </w:p>
    <w:p w14:paraId="63FEEC17" w14:textId="77777777" w:rsidR="00187E2A" w:rsidRPr="00187E2A" w:rsidRDefault="00187E2A" w:rsidP="00187E2A">
      <w:pPr>
        <w:pStyle w:val="NoSpacing"/>
        <w:rPr>
          <w:rFonts w:ascii="Times New Roman" w:hAnsi="Times New Roman" w:cs="Times New Roman"/>
          <w:b/>
          <w:color w:val="000000"/>
          <w:sz w:val="24"/>
          <w:szCs w:val="24"/>
        </w:rPr>
      </w:pPr>
    </w:p>
    <w:p w14:paraId="7FF6161E" w14:textId="1EBB760F" w:rsidR="001704EC" w:rsidRDefault="00AA1A93" w:rsidP="00187E2A">
      <w:pPr>
        <w:pStyle w:val="NoSpacing"/>
        <w:rPr>
          <w:rFonts w:ascii="Times New Roman" w:hAnsi="Times New Roman" w:cs="Times New Roman"/>
          <w:sz w:val="24"/>
          <w:szCs w:val="24"/>
          <w:lang w:val="en"/>
        </w:rPr>
      </w:pPr>
      <w:r w:rsidRPr="00187E2A">
        <w:rPr>
          <w:rFonts w:ascii="Times New Roman" w:hAnsi="Times New Roman" w:cs="Times New Roman"/>
          <w:sz w:val="24"/>
          <w:szCs w:val="24"/>
          <w:lang w:val="en"/>
        </w:rPr>
        <w:t xml:space="preserve">Research and scholarly activities conducted at </w:t>
      </w:r>
      <w:r w:rsidR="007E4A42" w:rsidRPr="00187E2A">
        <w:rPr>
          <w:rFonts w:ascii="Times New Roman" w:hAnsi="Times New Roman" w:cs="Times New Roman"/>
          <w:sz w:val="24"/>
          <w:szCs w:val="24"/>
          <w:lang w:val="en"/>
        </w:rPr>
        <w:t>Jacksonville</w:t>
      </w:r>
      <w:r w:rsidRPr="00187E2A">
        <w:rPr>
          <w:rFonts w:ascii="Times New Roman" w:hAnsi="Times New Roman" w:cs="Times New Roman"/>
          <w:sz w:val="24"/>
          <w:szCs w:val="24"/>
          <w:lang w:val="en"/>
        </w:rPr>
        <w:t xml:space="preserve"> University incur two types of costs: </w:t>
      </w:r>
    </w:p>
    <w:p w14:paraId="18ACEC5A" w14:textId="77777777" w:rsidR="001704EC" w:rsidRDefault="001704EC" w:rsidP="00187E2A">
      <w:pPr>
        <w:pStyle w:val="NoSpacing"/>
        <w:rPr>
          <w:rFonts w:ascii="Times New Roman" w:hAnsi="Times New Roman" w:cs="Times New Roman"/>
          <w:sz w:val="24"/>
          <w:szCs w:val="24"/>
          <w:lang w:val="en"/>
        </w:rPr>
      </w:pPr>
    </w:p>
    <w:p w14:paraId="45B41562" w14:textId="4EFDF6E9" w:rsidR="00187E2A" w:rsidRPr="00187E2A" w:rsidRDefault="00AA1A93" w:rsidP="00187E2A">
      <w:pPr>
        <w:pStyle w:val="NoSpacing"/>
        <w:rPr>
          <w:rFonts w:ascii="Times New Roman" w:hAnsi="Times New Roman" w:cs="Times New Roman"/>
          <w:sz w:val="24"/>
          <w:szCs w:val="24"/>
          <w:lang w:val="en"/>
        </w:rPr>
      </w:pPr>
      <w:r w:rsidRPr="00187E2A">
        <w:rPr>
          <w:rFonts w:ascii="Times New Roman" w:hAnsi="Times New Roman" w:cs="Times New Roman"/>
          <w:b/>
          <w:sz w:val="24"/>
          <w:szCs w:val="24"/>
          <w:lang w:val="en"/>
        </w:rPr>
        <w:t>Direct Costs</w:t>
      </w:r>
      <w:r w:rsidRPr="00187E2A">
        <w:rPr>
          <w:rFonts w:ascii="Times New Roman" w:hAnsi="Times New Roman" w:cs="Times New Roman"/>
          <w:sz w:val="24"/>
          <w:szCs w:val="24"/>
          <w:lang w:val="en"/>
        </w:rPr>
        <w:t xml:space="preserve"> and </w:t>
      </w:r>
      <w:r w:rsidRPr="00187E2A">
        <w:rPr>
          <w:rFonts w:ascii="Times New Roman" w:hAnsi="Times New Roman" w:cs="Times New Roman"/>
          <w:b/>
          <w:sz w:val="24"/>
          <w:szCs w:val="24"/>
          <w:lang w:val="en"/>
        </w:rPr>
        <w:t>Indirect Costs</w:t>
      </w:r>
      <w:r w:rsidRPr="00187E2A">
        <w:rPr>
          <w:rFonts w:ascii="Times New Roman" w:hAnsi="Times New Roman" w:cs="Times New Roman"/>
          <w:sz w:val="24"/>
          <w:szCs w:val="24"/>
          <w:lang w:val="en"/>
        </w:rPr>
        <w:t>. For every grant dollar the University spends on the Direct Costs of conducting research or other projects, the University incurs additional costs to maintain the facilities used for the projects and to support the administration of those projects (i.e., Indirect Costs)</w:t>
      </w:r>
      <w:r w:rsidR="009D4705" w:rsidRPr="00187E2A">
        <w:rPr>
          <w:rFonts w:ascii="Times New Roman" w:hAnsi="Times New Roman" w:cs="Times New Roman"/>
          <w:sz w:val="24"/>
          <w:szCs w:val="24"/>
          <w:lang w:val="en"/>
        </w:rPr>
        <w:t>.</w:t>
      </w:r>
    </w:p>
    <w:p w14:paraId="28A52114" w14:textId="77777777" w:rsidR="00187E2A" w:rsidRPr="00187E2A" w:rsidRDefault="00187E2A" w:rsidP="00187E2A">
      <w:pPr>
        <w:pStyle w:val="NoSpacing"/>
        <w:rPr>
          <w:rFonts w:ascii="Times New Roman" w:hAnsi="Times New Roman" w:cs="Times New Roman"/>
          <w:sz w:val="24"/>
          <w:szCs w:val="24"/>
          <w:lang w:val="en"/>
        </w:rPr>
      </w:pPr>
    </w:p>
    <w:p w14:paraId="61F2B2E3" w14:textId="3B422870" w:rsidR="00AA1A93" w:rsidRPr="00187E2A" w:rsidRDefault="002931EA" w:rsidP="00187E2A">
      <w:pPr>
        <w:pStyle w:val="NoSpacing"/>
        <w:rPr>
          <w:rFonts w:ascii="Times New Roman" w:hAnsi="Times New Roman" w:cs="Times New Roman"/>
          <w:sz w:val="24"/>
          <w:szCs w:val="24"/>
          <w:lang w:val="en"/>
        </w:rPr>
      </w:pPr>
      <w:r w:rsidRPr="00911A66">
        <w:rPr>
          <w:rFonts w:ascii="Times New Roman" w:hAnsi="Times New Roman" w:cs="Times New Roman"/>
          <w:b/>
          <w:sz w:val="24"/>
          <w:szCs w:val="24"/>
          <w:lang w:val="en"/>
        </w:rPr>
        <w:t>Direct C</w:t>
      </w:r>
      <w:r w:rsidR="00AA1A93" w:rsidRPr="00911A66">
        <w:rPr>
          <w:rFonts w:ascii="Times New Roman" w:hAnsi="Times New Roman" w:cs="Times New Roman"/>
          <w:b/>
          <w:sz w:val="24"/>
          <w:szCs w:val="24"/>
          <w:lang w:val="en"/>
        </w:rPr>
        <w:t>osts</w:t>
      </w:r>
      <w:r w:rsidR="00AA1A93" w:rsidRPr="00911A66">
        <w:rPr>
          <w:rFonts w:ascii="Times New Roman" w:hAnsi="Times New Roman" w:cs="Times New Roman"/>
          <w:sz w:val="24"/>
          <w:szCs w:val="24"/>
          <w:lang w:val="en"/>
        </w:rPr>
        <w:t xml:space="preserve"> pay for the resources that a single research project uses. They are those costs that can be identified specifically with a particular sponsored project, an instructional activity, or any other institutional activity, or that can be directly assigned to such activities relatively easily with a high degree of accuracy. These costs may include salary for a research assistant, a chemical for a specific experiment, or the travel costs associated with the implementation of a specific project.</w:t>
      </w:r>
      <w:r w:rsidR="00AA1A93" w:rsidRPr="00187E2A">
        <w:rPr>
          <w:rFonts w:ascii="Times New Roman" w:hAnsi="Times New Roman" w:cs="Times New Roman"/>
          <w:sz w:val="24"/>
          <w:szCs w:val="24"/>
          <w:lang w:val="en"/>
        </w:rPr>
        <w:t xml:space="preserve"> </w:t>
      </w:r>
    </w:p>
    <w:p w14:paraId="36C59844" w14:textId="77777777" w:rsidR="009D4705" w:rsidRPr="00187E2A" w:rsidRDefault="009D4705" w:rsidP="00187E2A">
      <w:pPr>
        <w:pStyle w:val="NoSpacing"/>
        <w:rPr>
          <w:rFonts w:ascii="Times New Roman" w:hAnsi="Times New Roman" w:cs="Times New Roman"/>
          <w:sz w:val="24"/>
          <w:szCs w:val="24"/>
        </w:rPr>
      </w:pPr>
    </w:p>
    <w:p w14:paraId="556F2E76" w14:textId="31AB5CE9" w:rsidR="00203C74" w:rsidRPr="00187E2A" w:rsidRDefault="0047409E" w:rsidP="00187E2A">
      <w:pPr>
        <w:pStyle w:val="NoSpacing"/>
        <w:rPr>
          <w:rFonts w:ascii="Times New Roman" w:hAnsi="Times New Roman" w:cs="Times New Roman"/>
          <w:sz w:val="24"/>
          <w:szCs w:val="24"/>
        </w:rPr>
      </w:pPr>
      <w:r w:rsidRPr="00187E2A">
        <w:rPr>
          <w:rFonts w:ascii="Times New Roman" w:hAnsi="Times New Roman" w:cs="Times New Roman"/>
          <w:b/>
          <w:sz w:val="24"/>
          <w:szCs w:val="24"/>
          <w:lang w:val="en"/>
        </w:rPr>
        <w:lastRenderedPageBreak/>
        <w:t>Indirect Costs</w:t>
      </w:r>
      <w:r w:rsidR="00EA6900">
        <w:rPr>
          <w:rFonts w:ascii="Times New Roman" w:hAnsi="Times New Roman" w:cs="Times New Roman"/>
          <w:b/>
          <w:sz w:val="24"/>
          <w:szCs w:val="24"/>
          <w:lang w:val="en"/>
        </w:rPr>
        <w:t xml:space="preserve"> (IDC)</w:t>
      </w:r>
      <w:r w:rsidR="00224E81" w:rsidRPr="00187E2A">
        <w:rPr>
          <w:rFonts w:ascii="Times New Roman" w:hAnsi="Times New Roman" w:cs="Times New Roman"/>
          <w:sz w:val="24"/>
          <w:szCs w:val="24"/>
          <w:lang w:val="en"/>
        </w:rPr>
        <w:t xml:space="preserve"> are</w:t>
      </w:r>
      <w:r w:rsidRPr="00187E2A">
        <w:rPr>
          <w:rFonts w:ascii="Times New Roman" w:hAnsi="Times New Roman" w:cs="Times New Roman"/>
          <w:sz w:val="24"/>
          <w:szCs w:val="24"/>
          <w:lang w:val="en"/>
        </w:rPr>
        <w:t xml:space="preserve"> those that are incurred for common or joint objectives and therefore cannot be identified readily and specifically with a particular sponsored project.  </w:t>
      </w:r>
      <w:r w:rsidR="00EA6900" w:rsidRPr="00187E2A">
        <w:rPr>
          <w:rFonts w:ascii="Times New Roman" w:hAnsi="Times New Roman" w:cs="Times New Roman"/>
          <w:sz w:val="24"/>
          <w:szCs w:val="24"/>
        </w:rPr>
        <w:t xml:space="preserve">The funding derived from IDC provides critical dollars necessary to support the operating expenses related to the space in which the research is conducted, as well as the various services provided to the Principal Investigator and the college and department for administering the </w:t>
      </w:r>
      <w:r w:rsidR="00911A66">
        <w:rPr>
          <w:rFonts w:ascii="Times New Roman" w:hAnsi="Times New Roman" w:cs="Times New Roman"/>
          <w:sz w:val="24"/>
          <w:szCs w:val="24"/>
        </w:rPr>
        <w:t>award</w:t>
      </w:r>
      <w:r w:rsidR="00EA6900" w:rsidRPr="00187E2A">
        <w:rPr>
          <w:rFonts w:ascii="Times New Roman" w:hAnsi="Times New Roman" w:cs="Times New Roman"/>
          <w:sz w:val="24"/>
          <w:szCs w:val="24"/>
        </w:rPr>
        <w:t xml:space="preserve"> (e.g., ORSP, accounting, purchasing, human resources, facilities, etc</w:t>
      </w:r>
      <w:r w:rsidR="00911A66">
        <w:rPr>
          <w:rFonts w:ascii="Times New Roman" w:hAnsi="Times New Roman" w:cs="Times New Roman"/>
          <w:sz w:val="24"/>
          <w:szCs w:val="24"/>
        </w:rPr>
        <w:t>.)</w:t>
      </w:r>
      <w:r w:rsidRPr="00187E2A">
        <w:rPr>
          <w:rFonts w:ascii="Times New Roman" w:hAnsi="Times New Roman" w:cs="Times New Roman"/>
          <w:sz w:val="24"/>
          <w:szCs w:val="24"/>
          <w:lang w:val="en"/>
        </w:rPr>
        <w:t xml:space="preserve"> libraries, physical plant operation and maintenance, utilities, departmental support costs (e.g., salaries, postage and related administrative costs), and depreciation for buildings and equipment are examples of indirect costs. </w:t>
      </w:r>
    </w:p>
    <w:p w14:paraId="255642D4" w14:textId="77777777" w:rsidR="009D4705" w:rsidRPr="00187E2A" w:rsidRDefault="009D4705" w:rsidP="00187E2A">
      <w:pPr>
        <w:pStyle w:val="NoSpacing"/>
        <w:rPr>
          <w:rFonts w:ascii="Times New Roman" w:hAnsi="Times New Roman" w:cs="Times New Roman"/>
          <w:sz w:val="24"/>
          <w:szCs w:val="24"/>
        </w:rPr>
      </w:pPr>
    </w:p>
    <w:p w14:paraId="794E904F" w14:textId="729CFBC7" w:rsidR="006F1732" w:rsidRDefault="00EA6900" w:rsidP="00187E2A">
      <w:pPr>
        <w:pStyle w:val="NoSpacing"/>
        <w:rPr>
          <w:rFonts w:ascii="Times New Roman" w:hAnsi="Times New Roman" w:cs="Times New Roman"/>
          <w:sz w:val="24"/>
          <w:szCs w:val="24"/>
        </w:rPr>
      </w:pPr>
      <w:r>
        <w:rPr>
          <w:rFonts w:ascii="Times New Roman" w:hAnsi="Times New Roman" w:cs="Times New Roman"/>
          <w:sz w:val="24"/>
          <w:szCs w:val="24"/>
        </w:rPr>
        <w:t>As part of the IDC policy, a</w:t>
      </w:r>
      <w:r w:rsidR="00EE54F2" w:rsidRPr="00187E2A">
        <w:rPr>
          <w:rFonts w:ascii="Times New Roman" w:hAnsi="Times New Roman" w:cs="Times New Roman"/>
          <w:sz w:val="24"/>
          <w:szCs w:val="24"/>
        </w:rPr>
        <w:t xml:space="preserve"> portion of JU’s IDC recovery is returned to the </w:t>
      </w:r>
      <w:r w:rsidR="0093797F" w:rsidRPr="00187E2A">
        <w:rPr>
          <w:rFonts w:ascii="Times New Roman" w:hAnsi="Times New Roman" w:cs="Times New Roman"/>
          <w:sz w:val="24"/>
          <w:szCs w:val="24"/>
        </w:rPr>
        <w:t>PIs and their departments.</w:t>
      </w:r>
      <w:r w:rsidR="00EE54F2" w:rsidRPr="00187E2A">
        <w:rPr>
          <w:rFonts w:ascii="Times New Roman" w:hAnsi="Times New Roman" w:cs="Times New Roman"/>
          <w:sz w:val="24"/>
          <w:szCs w:val="24"/>
        </w:rPr>
        <w:t xml:space="preserve"> </w:t>
      </w:r>
    </w:p>
    <w:p w14:paraId="560329F9" w14:textId="77777777" w:rsidR="00740A17" w:rsidRDefault="00740A17" w:rsidP="00187E2A">
      <w:pPr>
        <w:pStyle w:val="NoSpacing"/>
        <w:rPr>
          <w:rFonts w:ascii="Times New Roman" w:hAnsi="Times New Roman" w:cs="Times New Roman"/>
          <w:sz w:val="24"/>
          <w:szCs w:val="24"/>
        </w:rPr>
      </w:pPr>
    </w:p>
    <w:p w14:paraId="526E1849" w14:textId="5C6CEB04" w:rsidR="00E028D5" w:rsidRDefault="00BC4AA6" w:rsidP="00187E2A">
      <w:pPr>
        <w:pStyle w:val="NoSpacing"/>
        <w:rPr>
          <w:rFonts w:ascii="Times New Roman" w:hAnsi="Times New Roman" w:cs="Times New Roman"/>
          <w:sz w:val="24"/>
          <w:szCs w:val="24"/>
        </w:rPr>
      </w:pPr>
      <w:r w:rsidRPr="00187E2A">
        <w:rPr>
          <w:rFonts w:ascii="Times New Roman" w:hAnsi="Times New Roman" w:cs="Times New Roman"/>
          <w:sz w:val="24"/>
          <w:szCs w:val="24"/>
        </w:rPr>
        <w:t xml:space="preserve">The </w:t>
      </w:r>
      <w:r w:rsidR="00E028D5" w:rsidRPr="00187E2A">
        <w:rPr>
          <w:rFonts w:ascii="Times New Roman" w:hAnsi="Times New Roman" w:cs="Times New Roman"/>
          <w:sz w:val="24"/>
          <w:szCs w:val="24"/>
        </w:rPr>
        <w:t xml:space="preserve">University’s </w:t>
      </w:r>
      <w:r w:rsidR="00EA6900">
        <w:rPr>
          <w:rFonts w:ascii="Times New Roman" w:hAnsi="Times New Roman" w:cs="Times New Roman"/>
          <w:sz w:val="24"/>
          <w:szCs w:val="24"/>
        </w:rPr>
        <w:t>IDC</w:t>
      </w:r>
      <w:r w:rsidR="00694E73">
        <w:rPr>
          <w:rFonts w:ascii="Times New Roman" w:hAnsi="Times New Roman" w:cs="Times New Roman"/>
          <w:sz w:val="24"/>
          <w:szCs w:val="24"/>
        </w:rPr>
        <w:t xml:space="preserve"> agreement</w:t>
      </w:r>
      <w:r w:rsidR="001C31B2" w:rsidRPr="00187E2A">
        <w:rPr>
          <w:rFonts w:ascii="Times New Roman" w:hAnsi="Times New Roman" w:cs="Times New Roman"/>
          <w:sz w:val="24"/>
          <w:szCs w:val="24"/>
        </w:rPr>
        <w:t xml:space="preserve"> </w:t>
      </w:r>
      <w:r w:rsidR="00EE54F2" w:rsidRPr="00187E2A">
        <w:rPr>
          <w:rFonts w:ascii="Times New Roman" w:hAnsi="Times New Roman" w:cs="Times New Roman"/>
          <w:sz w:val="24"/>
          <w:szCs w:val="24"/>
        </w:rPr>
        <w:t>is</w:t>
      </w:r>
      <w:r w:rsidR="00EE54F2" w:rsidRPr="00187E2A">
        <w:rPr>
          <w:rFonts w:ascii="Times New Roman" w:hAnsi="Times New Roman" w:cs="Times New Roman"/>
          <w:color w:val="000000"/>
          <w:sz w:val="24"/>
          <w:szCs w:val="24"/>
        </w:rPr>
        <w:t xml:space="preserve"> periodically reviewed and negotiated with </w:t>
      </w:r>
      <w:r w:rsidR="00EE54F2" w:rsidRPr="00187E2A">
        <w:rPr>
          <w:rFonts w:ascii="Times New Roman" w:hAnsi="Times New Roman" w:cs="Times New Roman"/>
          <w:sz w:val="24"/>
          <w:szCs w:val="24"/>
        </w:rPr>
        <w:t>JU’s</w:t>
      </w:r>
      <w:r w:rsidR="00EE54F2" w:rsidRPr="00187E2A">
        <w:rPr>
          <w:rFonts w:ascii="Times New Roman" w:hAnsi="Times New Roman" w:cs="Times New Roman"/>
          <w:color w:val="000000"/>
          <w:sz w:val="24"/>
          <w:szCs w:val="24"/>
        </w:rPr>
        <w:t xml:space="preserve"> cognizant Federal audit agency, the Department of Health &amp; Human Services, in accordance with applicable federal government cost principles set forth in the Office of Management and Budget (OMB) </w:t>
      </w:r>
      <w:r w:rsidR="00EE54F2" w:rsidRPr="00187E2A">
        <w:rPr>
          <w:rFonts w:ascii="Times New Roman" w:hAnsi="Times New Roman" w:cs="Times New Roman"/>
          <w:sz w:val="24"/>
          <w:szCs w:val="24"/>
        </w:rPr>
        <w:t>Uniform Guidance (2 CFR 200.414</w:t>
      </w:r>
      <w:r w:rsidR="00EE54F2" w:rsidRPr="00187E2A">
        <w:rPr>
          <w:rFonts w:ascii="Times New Roman" w:hAnsi="Times New Roman" w:cs="Times New Roman"/>
          <w:color w:val="000000"/>
          <w:sz w:val="24"/>
          <w:szCs w:val="24"/>
        </w:rPr>
        <w:t>)</w:t>
      </w:r>
      <w:r w:rsidR="00E028D5" w:rsidRPr="00187E2A">
        <w:rPr>
          <w:rFonts w:ascii="Times New Roman" w:hAnsi="Times New Roman" w:cs="Times New Roman"/>
          <w:color w:val="000000"/>
          <w:sz w:val="24"/>
          <w:szCs w:val="24"/>
        </w:rPr>
        <w:t>.</w:t>
      </w:r>
      <w:r w:rsidR="00E028D5" w:rsidRPr="00187E2A">
        <w:rPr>
          <w:rFonts w:ascii="Times New Roman" w:hAnsi="Times New Roman" w:cs="Times New Roman"/>
          <w:sz w:val="24"/>
          <w:szCs w:val="24"/>
        </w:rPr>
        <w:t xml:space="preserve"> </w:t>
      </w:r>
      <w:r w:rsidR="00F43C9A" w:rsidRPr="00187E2A">
        <w:rPr>
          <w:rFonts w:ascii="Times New Roman" w:hAnsi="Times New Roman" w:cs="Times New Roman"/>
          <w:sz w:val="24"/>
          <w:szCs w:val="24"/>
        </w:rPr>
        <w:t xml:space="preserve">The </w:t>
      </w:r>
      <w:r w:rsidR="00EE54F2" w:rsidRPr="00187E2A">
        <w:rPr>
          <w:rFonts w:ascii="Times New Roman" w:hAnsi="Times New Roman" w:cs="Times New Roman"/>
          <w:sz w:val="24"/>
          <w:szCs w:val="24"/>
        </w:rPr>
        <w:t>negotiated</w:t>
      </w:r>
      <w:r w:rsidR="00F43C9A" w:rsidRPr="00187E2A">
        <w:rPr>
          <w:rFonts w:ascii="Times New Roman" w:hAnsi="Times New Roman" w:cs="Times New Roman"/>
          <w:sz w:val="24"/>
          <w:szCs w:val="24"/>
        </w:rPr>
        <w:t xml:space="preserve"> rate is applied to the </w:t>
      </w:r>
      <w:r w:rsidR="00694E73">
        <w:rPr>
          <w:rFonts w:ascii="Times New Roman" w:hAnsi="Times New Roman" w:cs="Times New Roman"/>
          <w:sz w:val="24"/>
          <w:szCs w:val="24"/>
        </w:rPr>
        <w:t>allowable direct costs</w:t>
      </w:r>
      <w:r w:rsidR="007B0DFF">
        <w:rPr>
          <w:rFonts w:ascii="Times New Roman" w:hAnsi="Times New Roman" w:cs="Times New Roman"/>
          <w:sz w:val="24"/>
          <w:szCs w:val="24"/>
        </w:rPr>
        <w:t>.  The University’s current rate agreement, which is effective July 2, 2015</w:t>
      </w:r>
      <w:r w:rsidR="000A7223">
        <w:rPr>
          <w:rFonts w:ascii="Times New Roman" w:hAnsi="Times New Roman" w:cs="Times New Roman"/>
          <w:sz w:val="24"/>
          <w:szCs w:val="24"/>
        </w:rPr>
        <w:t>,</w:t>
      </w:r>
      <w:r w:rsidR="007B0DFF">
        <w:rPr>
          <w:rFonts w:ascii="Times New Roman" w:hAnsi="Times New Roman" w:cs="Times New Roman"/>
          <w:sz w:val="24"/>
          <w:szCs w:val="24"/>
        </w:rPr>
        <w:t xml:space="preserve"> through June 30, 2019, authorizes 39% for on-campus activity and 19% for off-campus activity; rates are to the total cost of salaries, wages and fringe benefits. </w:t>
      </w:r>
    </w:p>
    <w:p w14:paraId="080A5064" w14:textId="77777777" w:rsidR="001704EC" w:rsidRDefault="001704EC" w:rsidP="00187E2A">
      <w:pPr>
        <w:pStyle w:val="NoSpacing"/>
        <w:rPr>
          <w:rFonts w:ascii="Times New Roman" w:hAnsi="Times New Roman" w:cs="Times New Roman"/>
          <w:sz w:val="24"/>
          <w:szCs w:val="24"/>
        </w:rPr>
      </w:pPr>
    </w:p>
    <w:p w14:paraId="3AC364AE" w14:textId="02226632" w:rsidR="007B0DFF" w:rsidRDefault="007B0DFF" w:rsidP="007B0DFF">
      <w:pPr>
        <w:pStyle w:val="NoSpacing"/>
        <w:numPr>
          <w:ilvl w:val="0"/>
          <w:numId w:val="12"/>
        </w:numPr>
        <w:rPr>
          <w:rFonts w:ascii="Times New Roman" w:hAnsi="Times New Roman" w:cs="Times New Roman"/>
          <w:sz w:val="24"/>
          <w:szCs w:val="24"/>
        </w:rPr>
      </w:pPr>
      <w:r w:rsidRPr="007B0DFF">
        <w:rPr>
          <w:rFonts w:ascii="Times New Roman" w:hAnsi="Times New Roman" w:cs="Times New Roman"/>
          <w:b/>
          <w:sz w:val="24"/>
          <w:szCs w:val="24"/>
        </w:rPr>
        <w:t>All</w:t>
      </w:r>
      <w:r>
        <w:rPr>
          <w:rFonts w:ascii="Times New Roman" w:hAnsi="Times New Roman" w:cs="Times New Roman"/>
          <w:sz w:val="24"/>
          <w:szCs w:val="24"/>
        </w:rPr>
        <w:t xml:space="preserve"> externally funded projects (i.e., grants</w:t>
      </w:r>
      <w:r w:rsidR="00D63CE8">
        <w:rPr>
          <w:rFonts w:ascii="Times New Roman" w:hAnsi="Times New Roman" w:cs="Times New Roman"/>
          <w:sz w:val="24"/>
          <w:szCs w:val="24"/>
        </w:rPr>
        <w:t>,</w:t>
      </w:r>
      <w:r>
        <w:rPr>
          <w:rFonts w:ascii="Times New Roman" w:hAnsi="Times New Roman" w:cs="Times New Roman"/>
          <w:sz w:val="24"/>
          <w:szCs w:val="24"/>
        </w:rPr>
        <w:t xml:space="preserve"> contracts</w:t>
      </w:r>
      <w:r w:rsidR="00D63CE8">
        <w:rPr>
          <w:rFonts w:ascii="Times New Roman" w:hAnsi="Times New Roman" w:cs="Times New Roman"/>
          <w:sz w:val="24"/>
          <w:szCs w:val="24"/>
        </w:rPr>
        <w:t>,</w:t>
      </w:r>
      <w:r>
        <w:rPr>
          <w:rFonts w:ascii="Times New Roman" w:hAnsi="Times New Roman" w:cs="Times New Roman"/>
          <w:sz w:val="24"/>
          <w:szCs w:val="24"/>
        </w:rPr>
        <w:t xml:space="preserve"> and cooperative agreements) conducted by </w:t>
      </w:r>
      <w:r w:rsidR="00EA6900">
        <w:rPr>
          <w:rFonts w:ascii="Times New Roman" w:hAnsi="Times New Roman" w:cs="Times New Roman"/>
          <w:sz w:val="24"/>
          <w:szCs w:val="24"/>
        </w:rPr>
        <w:t>JU</w:t>
      </w:r>
      <w:r>
        <w:rPr>
          <w:rFonts w:ascii="Times New Roman" w:hAnsi="Times New Roman" w:cs="Times New Roman"/>
          <w:sz w:val="24"/>
          <w:szCs w:val="24"/>
        </w:rPr>
        <w:t xml:space="preserve"> shall seek reimbursement of indirect costs at the federally approved rates.</w:t>
      </w:r>
    </w:p>
    <w:p w14:paraId="7A4F0E2C" w14:textId="2F2E09A8" w:rsidR="001704EC" w:rsidRDefault="001704EC" w:rsidP="007B0DFF">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lastRenderedPageBreak/>
        <w:t xml:space="preserve">When a sponsor limits or prohibits indirect cost recovery on a project, JU will accept the sponsor’s rate provided the rate is published and uniformly applied. </w:t>
      </w:r>
    </w:p>
    <w:p w14:paraId="560D5C6A" w14:textId="7CA62EE9" w:rsidR="001704EC" w:rsidRPr="00187E2A" w:rsidRDefault="001704EC" w:rsidP="007B0DFF">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 xml:space="preserve">In the absence of a published </w:t>
      </w:r>
      <w:r w:rsidR="00EA6900">
        <w:rPr>
          <w:rFonts w:ascii="Times New Roman" w:hAnsi="Times New Roman" w:cs="Times New Roman"/>
          <w:sz w:val="24"/>
          <w:szCs w:val="24"/>
        </w:rPr>
        <w:t xml:space="preserve">rate </w:t>
      </w:r>
      <w:r>
        <w:rPr>
          <w:rFonts w:ascii="Times New Roman" w:hAnsi="Times New Roman" w:cs="Times New Roman"/>
          <w:sz w:val="24"/>
          <w:szCs w:val="24"/>
        </w:rPr>
        <w:t xml:space="preserve">that is lower than JU’s negotiated federal rate, JU’s negotiated federal rate will be applied.  It is important that the University recover the full indirect costs if the institution is to avoid paying for sponsored projects from other sources of revenue. Agencies that have such policies frequently allow administrative costs and/or the direct charging of costs which ordinarily come under the designation of indirect costs. </w:t>
      </w:r>
    </w:p>
    <w:p w14:paraId="64A698C3" w14:textId="77777777" w:rsidR="0059653B" w:rsidRPr="00187E2A" w:rsidRDefault="0059653B" w:rsidP="00187E2A">
      <w:pPr>
        <w:pStyle w:val="NoSpacing"/>
        <w:rPr>
          <w:rFonts w:ascii="Times New Roman" w:hAnsi="Times New Roman" w:cs="Times New Roman"/>
          <w:b/>
          <w:sz w:val="24"/>
          <w:szCs w:val="24"/>
        </w:rPr>
      </w:pPr>
    </w:p>
    <w:p w14:paraId="663F4E6C" w14:textId="77777777" w:rsidR="000608B7" w:rsidRDefault="00187E2A" w:rsidP="00187E2A">
      <w:pPr>
        <w:pStyle w:val="NoSpacing"/>
        <w:rPr>
          <w:rFonts w:ascii="Times New Roman" w:hAnsi="Times New Roman" w:cs="Times New Roman"/>
          <w:b/>
          <w:sz w:val="24"/>
          <w:szCs w:val="24"/>
        </w:rPr>
      </w:pPr>
      <w:r>
        <w:rPr>
          <w:rFonts w:ascii="Times New Roman" w:hAnsi="Times New Roman" w:cs="Times New Roman"/>
          <w:b/>
          <w:sz w:val="24"/>
          <w:szCs w:val="24"/>
        </w:rPr>
        <w:t>3</w:t>
      </w:r>
      <w:r w:rsidR="009D4705" w:rsidRPr="00187E2A">
        <w:rPr>
          <w:rFonts w:ascii="Times New Roman" w:hAnsi="Times New Roman" w:cs="Times New Roman"/>
          <w:b/>
          <w:sz w:val="24"/>
          <w:szCs w:val="24"/>
        </w:rPr>
        <w:t xml:space="preserve">. </w:t>
      </w:r>
      <w:r w:rsidR="000608B7" w:rsidRPr="00187E2A">
        <w:rPr>
          <w:rFonts w:ascii="Times New Roman" w:hAnsi="Times New Roman" w:cs="Times New Roman"/>
          <w:b/>
          <w:sz w:val="24"/>
          <w:szCs w:val="24"/>
        </w:rPr>
        <w:t>Policy</w:t>
      </w:r>
    </w:p>
    <w:p w14:paraId="25B0806B" w14:textId="77777777" w:rsidR="00187E2A" w:rsidRPr="00187E2A" w:rsidRDefault="00187E2A" w:rsidP="00187E2A">
      <w:pPr>
        <w:pStyle w:val="NoSpacing"/>
        <w:rPr>
          <w:rFonts w:ascii="Times New Roman" w:hAnsi="Times New Roman" w:cs="Times New Roman"/>
          <w:b/>
          <w:sz w:val="24"/>
          <w:szCs w:val="24"/>
        </w:rPr>
      </w:pPr>
    </w:p>
    <w:p w14:paraId="22134B24" w14:textId="77777777" w:rsidR="00E808B5" w:rsidRPr="00187E2A" w:rsidRDefault="00E808B5" w:rsidP="00187E2A">
      <w:pPr>
        <w:pStyle w:val="NoSpacing"/>
        <w:rPr>
          <w:rFonts w:ascii="Times New Roman" w:hAnsi="Times New Roman" w:cs="Times New Roman"/>
          <w:b/>
          <w:sz w:val="24"/>
          <w:szCs w:val="24"/>
        </w:rPr>
      </w:pPr>
    </w:p>
    <w:p w14:paraId="5936595A" w14:textId="74F9978D" w:rsidR="00E808B5" w:rsidRPr="00187E2A" w:rsidRDefault="00E808B5" w:rsidP="00187E2A">
      <w:pPr>
        <w:pStyle w:val="NoSpacing"/>
        <w:rPr>
          <w:rFonts w:ascii="Times New Roman" w:hAnsi="Times New Roman" w:cs="Times New Roman"/>
          <w:b/>
          <w:sz w:val="24"/>
          <w:szCs w:val="24"/>
          <w:u w:val="single"/>
        </w:rPr>
      </w:pPr>
      <w:r w:rsidRPr="00187E2A">
        <w:rPr>
          <w:rFonts w:ascii="Times New Roman" w:hAnsi="Times New Roman" w:cs="Times New Roman"/>
          <w:b/>
          <w:sz w:val="24"/>
          <w:szCs w:val="24"/>
          <w:u w:val="single"/>
        </w:rPr>
        <w:t xml:space="preserve">Effective </w:t>
      </w:r>
      <w:r w:rsidR="007B0DFF">
        <w:rPr>
          <w:rFonts w:ascii="Times New Roman" w:hAnsi="Times New Roman" w:cs="Times New Roman"/>
          <w:b/>
          <w:sz w:val="24"/>
          <w:szCs w:val="24"/>
          <w:u w:val="single"/>
        </w:rPr>
        <w:t>July 1</w:t>
      </w:r>
      <w:r w:rsidRPr="00187E2A">
        <w:rPr>
          <w:rFonts w:ascii="Times New Roman" w:hAnsi="Times New Roman" w:cs="Times New Roman"/>
          <w:b/>
          <w:sz w:val="24"/>
          <w:szCs w:val="24"/>
          <w:u w:val="single"/>
        </w:rPr>
        <w:t xml:space="preserve">, 2018, the </w:t>
      </w:r>
      <w:r w:rsidR="00BC4F17" w:rsidRPr="00187E2A">
        <w:rPr>
          <w:rFonts w:ascii="Times New Roman" w:hAnsi="Times New Roman" w:cs="Times New Roman"/>
          <w:b/>
          <w:sz w:val="24"/>
          <w:szCs w:val="24"/>
          <w:u w:val="single"/>
        </w:rPr>
        <w:t>IDC</w:t>
      </w:r>
      <w:r w:rsidRPr="00187E2A">
        <w:rPr>
          <w:rFonts w:ascii="Times New Roman" w:hAnsi="Times New Roman" w:cs="Times New Roman"/>
          <w:b/>
          <w:sz w:val="24"/>
          <w:szCs w:val="24"/>
          <w:u w:val="single"/>
        </w:rPr>
        <w:t xml:space="preserve"> distribution is as follows:</w:t>
      </w:r>
    </w:p>
    <w:p w14:paraId="150EB128" w14:textId="77777777" w:rsidR="009D4705" w:rsidRPr="00187E2A" w:rsidRDefault="009D4705" w:rsidP="00187E2A">
      <w:pPr>
        <w:pStyle w:val="NoSpacing"/>
        <w:rPr>
          <w:rFonts w:ascii="Times New Roman" w:hAnsi="Times New Roman" w:cs="Times New Roman"/>
          <w:b/>
          <w:sz w:val="24"/>
          <w:szCs w:val="24"/>
        </w:rPr>
      </w:pPr>
    </w:p>
    <w:p w14:paraId="6FAF0EBD" w14:textId="719AC3C9" w:rsidR="00E808B5" w:rsidRPr="00027893" w:rsidRDefault="00E808B5" w:rsidP="001704EC">
      <w:pPr>
        <w:pStyle w:val="NoSpacing"/>
        <w:numPr>
          <w:ilvl w:val="0"/>
          <w:numId w:val="10"/>
        </w:numPr>
        <w:ind w:right="450"/>
        <w:jc w:val="both"/>
        <w:rPr>
          <w:rFonts w:ascii="Times New Roman" w:hAnsi="Times New Roman" w:cs="Times New Roman"/>
          <w:sz w:val="24"/>
          <w:szCs w:val="24"/>
        </w:rPr>
      </w:pPr>
      <w:r w:rsidRPr="00187E2A">
        <w:rPr>
          <w:rFonts w:ascii="Times New Roman" w:hAnsi="Times New Roman" w:cs="Times New Roman"/>
          <w:b/>
          <w:sz w:val="24"/>
          <w:szCs w:val="24"/>
        </w:rPr>
        <w:t>Forty-five percent (45%)</w:t>
      </w:r>
      <w:r w:rsidRPr="00187E2A">
        <w:rPr>
          <w:rFonts w:ascii="Times New Roman" w:hAnsi="Times New Roman" w:cs="Times New Roman"/>
          <w:sz w:val="24"/>
          <w:szCs w:val="24"/>
        </w:rPr>
        <w:t xml:space="preserve"> of all </w:t>
      </w:r>
      <w:r w:rsidR="00EA6900">
        <w:rPr>
          <w:rFonts w:ascii="Times New Roman" w:hAnsi="Times New Roman" w:cs="Times New Roman"/>
          <w:sz w:val="24"/>
          <w:szCs w:val="24"/>
        </w:rPr>
        <w:t>IDC’s</w:t>
      </w:r>
      <w:r w:rsidRPr="00187E2A">
        <w:rPr>
          <w:rFonts w:ascii="Times New Roman" w:hAnsi="Times New Roman" w:cs="Times New Roman"/>
          <w:sz w:val="24"/>
          <w:szCs w:val="24"/>
        </w:rPr>
        <w:t xml:space="preserve"> recovered from sponsored projects will be allocated to </w:t>
      </w:r>
      <w:r w:rsidRPr="00027893">
        <w:rPr>
          <w:rFonts w:ascii="Times New Roman" w:hAnsi="Times New Roman" w:cs="Times New Roman"/>
          <w:sz w:val="24"/>
          <w:szCs w:val="24"/>
        </w:rPr>
        <w:t xml:space="preserve">the University’s </w:t>
      </w:r>
      <w:r w:rsidR="00595134" w:rsidRPr="00027893">
        <w:rPr>
          <w:rFonts w:ascii="Times New Roman" w:hAnsi="Times New Roman" w:cs="Times New Roman"/>
          <w:sz w:val="24"/>
          <w:szCs w:val="24"/>
        </w:rPr>
        <w:t>general revenue account.</w:t>
      </w:r>
      <w:r w:rsidR="00694E73" w:rsidRPr="00027893">
        <w:rPr>
          <w:rFonts w:ascii="Times New Roman" w:hAnsi="Times New Roman" w:cs="Times New Roman"/>
          <w:sz w:val="24"/>
          <w:szCs w:val="24"/>
        </w:rPr>
        <w:t xml:space="preserve"> </w:t>
      </w:r>
      <w:r w:rsidRPr="00027893">
        <w:rPr>
          <w:rFonts w:ascii="Times New Roman" w:hAnsi="Times New Roman" w:cs="Times New Roman"/>
          <w:sz w:val="24"/>
          <w:szCs w:val="24"/>
        </w:rPr>
        <w:t xml:space="preserve"> These funds will be used at the discretion of the University to cover various administrative and facilities expenses associated with sponsored</w:t>
      </w:r>
      <w:r w:rsidRPr="00027893">
        <w:rPr>
          <w:rFonts w:ascii="Times New Roman" w:hAnsi="Times New Roman" w:cs="Times New Roman"/>
          <w:spacing w:val="27"/>
          <w:sz w:val="24"/>
          <w:szCs w:val="24"/>
        </w:rPr>
        <w:t xml:space="preserve"> </w:t>
      </w:r>
      <w:r w:rsidRPr="00027893">
        <w:rPr>
          <w:rFonts w:ascii="Times New Roman" w:hAnsi="Times New Roman" w:cs="Times New Roman"/>
          <w:sz w:val="24"/>
          <w:szCs w:val="24"/>
        </w:rPr>
        <w:t>award</w:t>
      </w:r>
      <w:r w:rsidR="00EC446F" w:rsidRPr="00027893">
        <w:rPr>
          <w:rFonts w:ascii="Times New Roman" w:hAnsi="Times New Roman" w:cs="Times New Roman"/>
          <w:sz w:val="24"/>
          <w:szCs w:val="24"/>
        </w:rPr>
        <w:t>s</w:t>
      </w:r>
      <w:r w:rsidRPr="00027893">
        <w:rPr>
          <w:rFonts w:ascii="Times New Roman" w:hAnsi="Times New Roman" w:cs="Times New Roman"/>
          <w:sz w:val="24"/>
          <w:szCs w:val="24"/>
        </w:rPr>
        <w:t>.</w:t>
      </w:r>
    </w:p>
    <w:p w14:paraId="29D5663E" w14:textId="77777777" w:rsidR="00E808B5" w:rsidRPr="00027893" w:rsidRDefault="00E808B5" w:rsidP="001704EC">
      <w:pPr>
        <w:pStyle w:val="NoSpacing"/>
        <w:ind w:right="450"/>
        <w:jc w:val="both"/>
        <w:rPr>
          <w:rFonts w:ascii="Times New Roman" w:hAnsi="Times New Roman" w:cs="Times New Roman"/>
          <w:sz w:val="24"/>
          <w:szCs w:val="24"/>
        </w:rPr>
      </w:pPr>
    </w:p>
    <w:p w14:paraId="7AC01C7B" w14:textId="77777777" w:rsidR="00E808B5" w:rsidRPr="00027893" w:rsidRDefault="00E808B5" w:rsidP="001704EC">
      <w:pPr>
        <w:pStyle w:val="NoSpacing"/>
        <w:ind w:right="450"/>
        <w:jc w:val="both"/>
        <w:rPr>
          <w:rFonts w:ascii="Times New Roman" w:hAnsi="Times New Roman" w:cs="Times New Roman"/>
          <w:sz w:val="24"/>
          <w:szCs w:val="24"/>
        </w:rPr>
      </w:pPr>
      <w:r w:rsidRPr="00027893">
        <w:rPr>
          <w:rFonts w:ascii="Times New Roman" w:hAnsi="Times New Roman" w:cs="Times New Roman"/>
          <w:sz w:val="24"/>
          <w:szCs w:val="24"/>
        </w:rPr>
        <w:t>The remaining 55% will be distributed in the following</w:t>
      </w:r>
      <w:r w:rsidRPr="00027893">
        <w:rPr>
          <w:rFonts w:ascii="Times New Roman" w:hAnsi="Times New Roman" w:cs="Times New Roman"/>
          <w:spacing w:val="-6"/>
          <w:sz w:val="24"/>
          <w:szCs w:val="24"/>
        </w:rPr>
        <w:t xml:space="preserve"> </w:t>
      </w:r>
      <w:r w:rsidRPr="00027893">
        <w:rPr>
          <w:rFonts w:ascii="Times New Roman" w:hAnsi="Times New Roman" w:cs="Times New Roman"/>
          <w:sz w:val="24"/>
          <w:szCs w:val="24"/>
        </w:rPr>
        <w:t>manner:</w:t>
      </w:r>
    </w:p>
    <w:p w14:paraId="37119139" w14:textId="77777777" w:rsidR="00E808B5" w:rsidRPr="00027893" w:rsidRDefault="00E808B5" w:rsidP="001704EC">
      <w:pPr>
        <w:pStyle w:val="NoSpacing"/>
        <w:ind w:right="450"/>
        <w:jc w:val="both"/>
        <w:rPr>
          <w:rFonts w:ascii="Times New Roman" w:hAnsi="Times New Roman" w:cs="Times New Roman"/>
          <w:sz w:val="24"/>
          <w:szCs w:val="24"/>
        </w:rPr>
      </w:pPr>
    </w:p>
    <w:p w14:paraId="60F0F8EA" w14:textId="617E2017" w:rsidR="00B53CDF" w:rsidRPr="00027893" w:rsidRDefault="00E808B5" w:rsidP="001704EC">
      <w:pPr>
        <w:pStyle w:val="NoSpacing"/>
        <w:numPr>
          <w:ilvl w:val="0"/>
          <w:numId w:val="10"/>
        </w:numPr>
        <w:ind w:right="450"/>
        <w:jc w:val="both"/>
        <w:rPr>
          <w:rFonts w:ascii="Times New Roman" w:hAnsi="Times New Roman" w:cs="Times New Roman"/>
          <w:sz w:val="24"/>
          <w:szCs w:val="24"/>
        </w:rPr>
      </w:pPr>
      <w:r w:rsidRPr="00027893">
        <w:rPr>
          <w:rFonts w:ascii="Times New Roman" w:hAnsi="Times New Roman" w:cs="Times New Roman"/>
          <w:b/>
          <w:sz w:val="24"/>
          <w:szCs w:val="24"/>
        </w:rPr>
        <w:t>Ten</w:t>
      </w:r>
      <w:r w:rsidRPr="00027893">
        <w:rPr>
          <w:rFonts w:ascii="Times New Roman" w:hAnsi="Times New Roman" w:cs="Times New Roman"/>
          <w:b/>
          <w:spacing w:val="32"/>
          <w:sz w:val="24"/>
          <w:szCs w:val="24"/>
        </w:rPr>
        <w:t xml:space="preserve"> </w:t>
      </w:r>
      <w:r w:rsidRPr="00027893">
        <w:rPr>
          <w:rFonts w:ascii="Times New Roman" w:hAnsi="Times New Roman" w:cs="Times New Roman"/>
          <w:b/>
          <w:sz w:val="24"/>
          <w:szCs w:val="24"/>
        </w:rPr>
        <w:t>percent</w:t>
      </w:r>
      <w:r w:rsidRPr="00027893">
        <w:rPr>
          <w:rFonts w:ascii="Times New Roman" w:hAnsi="Times New Roman" w:cs="Times New Roman"/>
          <w:b/>
          <w:spacing w:val="33"/>
          <w:sz w:val="24"/>
          <w:szCs w:val="24"/>
        </w:rPr>
        <w:t xml:space="preserve"> </w:t>
      </w:r>
      <w:r w:rsidRPr="00027893">
        <w:rPr>
          <w:rFonts w:ascii="Times New Roman" w:hAnsi="Times New Roman" w:cs="Times New Roman"/>
          <w:b/>
          <w:sz w:val="24"/>
          <w:szCs w:val="24"/>
        </w:rPr>
        <w:t>(10%)</w:t>
      </w:r>
      <w:r w:rsidRPr="00027893">
        <w:rPr>
          <w:rFonts w:ascii="Times New Roman" w:hAnsi="Times New Roman" w:cs="Times New Roman"/>
          <w:spacing w:val="33"/>
          <w:sz w:val="24"/>
          <w:szCs w:val="24"/>
        </w:rPr>
        <w:t xml:space="preserve"> </w:t>
      </w:r>
      <w:r w:rsidRPr="00027893">
        <w:rPr>
          <w:rFonts w:ascii="Times New Roman" w:hAnsi="Times New Roman" w:cs="Times New Roman"/>
          <w:sz w:val="24"/>
          <w:szCs w:val="24"/>
        </w:rPr>
        <w:t>of the recovered</w:t>
      </w:r>
      <w:r w:rsidRPr="00027893">
        <w:rPr>
          <w:rFonts w:ascii="Times New Roman" w:hAnsi="Times New Roman" w:cs="Times New Roman"/>
          <w:spacing w:val="33"/>
          <w:sz w:val="24"/>
          <w:szCs w:val="24"/>
        </w:rPr>
        <w:t xml:space="preserve"> </w:t>
      </w:r>
      <w:r w:rsidRPr="00027893">
        <w:rPr>
          <w:rFonts w:ascii="Times New Roman" w:hAnsi="Times New Roman" w:cs="Times New Roman"/>
          <w:sz w:val="24"/>
          <w:szCs w:val="24"/>
        </w:rPr>
        <w:t>indirect</w:t>
      </w:r>
      <w:r w:rsidRPr="00027893">
        <w:rPr>
          <w:rFonts w:ascii="Times New Roman" w:hAnsi="Times New Roman" w:cs="Times New Roman"/>
          <w:spacing w:val="32"/>
          <w:sz w:val="24"/>
          <w:szCs w:val="24"/>
        </w:rPr>
        <w:t xml:space="preserve"> </w:t>
      </w:r>
      <w:r w:rsidRPr="00027893">
        <w:rPr>
          <w:rFonts w:ascii="Times New Roman" w:hAnsi="Times New Roman" w:cs="Times New Roman"/>
          <w:sz w:val="24"/>
          <w:szCs w:val="24"/>
        </w:rPr>
        <w:t>costs</w:t>
      </w:r>
      <w:r w:rsidRPr="00027893">
        <w:rPr>
          <w:rFonts w:ascii="Times New Roman" w:hAnsi="Times New Roman" w:cs="Times New Roman"/>
          <w:spacing w:val="32"/>
          <w:sz w:val="24"/>
          <w:szCs w:val="24"/>
        </w:rPr>
        <w:t xml:space="preserve"> </w:t>
      </w:r>
      <w:r w:rsidRPr="00027893">
        <w:rPr>
          <w:rFonts w:ascii="Times New Roman" w:hAnsi="Times New Roman" w:cs="Times New Roman"/>
          <w:sz w:val="24"/>
          <w:szCs w:val="24"/>
        </w:rPr>
        <w:t>will</w:t>
      </w:r>
      <w:r w:rsidRPr="00027893">
        <w:rPr>
          <w:rFonts w:ascii="Times New Roman" w:hAnsi="Times New Roman" w:cs="Times New Roman"/>
          <w:spacing w:val="33"/>
          <w:sz w:val="24"/>
          <w:szCs w:val="24"/>
        </w:rPr>
        <w:t xml:space="preserve"> </w:t>
      </w:r>
      <w:r w:rsidRPr="00027893">
        <w:rPr>
          <w:rFonts w:ascii="Times New Roman" w:hAnsi="Times New Roman" w:cs="Times New Roman"/>
          <w:sz w:val="24"/>
          <w:szCs w:val="24"/>
        </w:rPr>
        <w:t>be</w:t>
      </w:r>
      <w:r w:rsidRPr="00027893">
        <w:rPr>
          <w:rFonts w:ascii="Times New Roman" w:hAnsi="Times New Roman" w:cs="Times New Roman"/>
          <w:spacing w:val="33"/>
          <w:sz w:val="24"/>
          <w:szCs w:val="24"/>
        </w:rPr>
        <w:t xml:space="preserve"> </w:t>
      </w:r>
      <w:r w:rsidRPr="00027893">
        <w:rPr>
          <w:rFonts w:ascii="Times New Roman" w:hAnsi="Times New Roman" w:cs="Times New Roman"/>
          <w:sz w:val="24"/>
          <w:szCs w:val="24"/>
        </w:rPr>
        <w:t>allocated</w:t>
      </w:r>
      <w:r w:rsidRPr="00027893">
        <w:rPr>
          <w:rFonts w:ascii="Times New Roman" w:hAnsi="Times New Roman" w:cs="Times New Roman"/>
          <w:spacing w:val="32"/>
          <w:sz w:val="24"/>
          <w:szCs w:val="24"/>
        </w:rPr>
        <w:t xml:space="preserve"> </w:t>
      </w:r>
      <w:r w:rsidRPr="00027893">
        <w:rPr>
          <w:rFonts w:ascii="Times New Roman" w:hAnsi="Times New Roman" w:cs="Times New Roman"/>
          <w:sz w:val="24"/>
          <w:szCs w:val="24"/>
        </w:rPr>
        <w:t>to</w:t>
      </w:r>
      <w:r w:rsidRPr="00027893">
        <w:rPr>
          <w:rFonts w:ascii="Times New Roman" w:hAnsi="Times New Roman" w:cs="Times New Roman"/>
          <w:spacing w:val="33"/>
          <w:sz w:val="24"/>
          <w:szCs w:val="24"/>
        </w:rPr>
        <w:t xml:space="preserve"> </w:t>
      </w:r>
      <w:r w:rsidRPr="00027893">
        <w:rPr>
          <w:rFonts w:ascii="Times New Roman" w:hAnsi="Times New Roman" w:cs="Times New Roman"/>
          <w:sz w:val="24"/>
          <w:szCs w:val="24"/>
        </w:rPr>
        <w:t>the Principal</w:t>
      </w:r>
      <w:r w:rsidRPr="00027893">
        <w:rPr>
          <w:rFonts w:ascii="Times New Roman" w:hAnsi="Times New Roman" w:cs="Times New Roman"/>
          <w:spacing w:val="25"/>
          <w:sz w:val="24"/>
          <w:szCs w:val="24"/>
        </w:rPr>
        <w:t xml:space="preserve"> </w:t>
      </w:r>
      <w:r w:rsidRPr="00027893">
        <w:rPr>
          <w:rFonts w:ascii="Times New Roman" w:hAnsi="Times New Roman" w:cs="Times New Roman"/>
          <w:sz w:val="24"/>
          <w:szCs w:val="24"/>
        </w:rPr>
        <w:t>Investigator</w:t>
      </w:r>
      <w:r w:rsidRPr="00027893">
        <w:rPr>
          <w:rFonts w:ascii="Times New Roman" w:hAnsi="Times New Roman" w:cs="Times New Roman"/>
          <w:spacing w:val="25"/>
          <w:sz w:val="24"/>
          <w:szCs w:val="24"/>
        </w:rPr>
        <w:t xml:space="preserve"> </w:t>
      </w:r>
      <w:r w:rsidRPr="00027893">
        <w:rPr>
          <w:rFonts w:ascii="Times New Roman" w:hAnsi="Times New Roman" w:cs="Times New Roman"/>
          <w:sz w:val="24"/>
          <w:szCs w:val="24"/>
        </w:rPr>
        <w:t>to</w:t>
      </w:r>
      <w:r w:rsidRPr="00027893">
        <w:rPr>
          <w:rFonts w:ascii="Times New Roman" w:hAnsi="Times New Roman" w:cs="Times New Roman"/>
          <w:spacing w:val="25"/>
          <w:sz w:val="24"/>
          <w:szCs w:val="24"/>
        </w:rPr>
        <w:t xml:space="preserve"> </w:t>
      </w:r>
      <w:r w:rsidRPr="00027893">
        <w:rPr>
          <w:rFonts w:ascii="Times New Roman" w:hAnsi="Times New Roman" w:cs="Times New Roman"/>
          <w:sz w:val="24"/>
          <w:szCs w:val="24"/>
        </w:rPr>
        <w:t>support</w:t>
      </w:r>
      <w:r w:rsidRPr="00027893">
        <w:rPr>
          <w:rFonts w:ascii="Times New Roman" w:hAnsi="Times New Roman" w:cs="Times New Roman"/>
          <w:spacing w:val="25"/>
          <w:sz w:val="24"/>
          <w:szCs w:val="24"/>
        </w:rPr>
        <w:t xml:space="preserve"> </w:t>
      </w:r>
      <w:r w:rsidR="00202F92" w:rsidRPr="00027893">
        <w:rPr>
          <w:rFonts w:ascii="Times New Roman" w:hAnsi="Times New Roman" w:cs="Times New Roman"/>
          <w:sz w:val="24"/>
          <w:szCs w:val="24"/>
        </w:rPr>
        <w:t>research and scholarship</w:t>
      </w:r>
      <w:r w:rsidRPr="00027893">
        <w:rPr>
          <w:rFonts w:ascii="Times New Roman" w:hAnsi="Times New Roman" w:cs="Times New Roman"/>
          <w:sz w:val="24"/>
          <w:szCs w:val="24"/>
        </w:rPr>
        <w:t>-related</w:t>
      </w:r>
      <w:r w:rsidRPr="00027893">
        <w:rPr>
          <w:rFonts w:ascii="Times New Roman" w:hAnsi="Times New Roman" w:cs="Times New Roman"/>
          <w:spacing w:val="23"/>
          <w:sz w:val="24"/>
          <w:szCs w:val="24"/>
        </w:rPr>
        <w:t xml:space="preserve"> </w:t>
      </w:r>
      <w:r w:rsidRPr="00027893">
        <w:rPr>
          <w:rFonts w:ascii="Times New Roman" w:hAnsi="Times New Roman" w:cs="Times New Roman"/>
          <w:sz w:val="24"/>
          <w:szCs w:val="24"/>
        </w:rPr>
        <w:t>activities.</w:t>
      </w:r>
      <w:r w:rsidR="00202F92" w:rsidRPr="00027893">
        <w:rPr>
          <w:rFonts w:ascii="Times New Roman" w:hAnsi="Times New Roman" w:cs="Times New Roman"/>
          <w:sz w:val="24"/>
          <w:szCs w:val="24"/>
        </w:rPr>
        <w:t xml:space="preserve"> Examples of appropriate uses for these funds include but are not limited to: hiring stude</w:t>
      </w:r>
      <w:r w:rsidR="00B50FF7" w:rsidRPr="00027893">
        <w:rPr>
          <w:rFonts w:ascii="Times New Roman" w:hAnsi="Times New Roman" w:cs="Times New Roman"/>
          <w:sz w:val="24"/>
          <w:szCs w:val="24"/>
        </w:rPr>
        <w:t xml:space="preserve">nt workers, </w:t>
      </w:r>
      <w:r w:rsidR="00B50FF7" w:rsidRPr="00027893">
        <w:rPr>
          <w:rFonts w:ascii="Times New Roman" w:hAnsi="Times New Roman" w:cs="Times New Roman"/>
          <w:sz w:val="24"/>
          <w:szCs w:val="24"/>
        </w:rPr>
        <w:lastRenderedPageBreak/>
        <w:t xml:space="preserve">purchasing supplies, software, </w:t>
      </w:r>
      <w:r w:rsidR="00202F92" w:rsidRPr="00027893">
        <w:rPr>
          <w:rFonts w:ascii="Times New Roman" w:hAnsi="Times New Roman" w:cs="Times New Roman"/>
          <w:sz w:val="24"/>
          <w:szCs w:val="24"/>
        </w:rPr>
        <w:t>and equipment</w:t>
      </w:r>
      <w:r w:rsidR="00B50FF7" w:rsidRPr="00027893">
        <w:rPr>
          <w:rFonts w:ascii="Times New Roman" w:hAnsi="Times New Roman" w:cs="Times New Roman"/>
          <w:sz w:val="24"/>
          <w:szCs w:val="24"/>
        </w:rPr>
        <w:t xml:space="preserve"> (other than computers/laptops/tablets)</w:t>
      </w:r>
      <w:r w:rsidR="00202F92" w:rsidRPr="00027893">
        <w:rPr>
          <w:rFonts w:ascii="Times New Roman" w:hAnsi="Times New Roman" w:cs="Times New Roman"/>
          <w:sz w:val="24"/>
          <w:szCs w:val="24"/>
        </w:rPr>
        <w:t>, professional development and/or conference registration fees and related travel, and publication fees.</w:t>
      </w:r>
      <w:r w:rsidR="00BC4F17" w:rsidRPr="00027893">
        <w:rPr>
          <w:rFonts w:ascii="Times New Roman" w:hAnsi="Times New Roman" w:cs="Times New Roman"/>
          <w:sz w:val="24"/>
          <w:szCs w:val="24"/>
        </w:rPr>
        <w:t xml:space="preserve"> </w:t>
      </w:r>
      <w:r w:rsidR="007301C4" w:rsidRPr="00027893">
        <w:rPr>
          <w:rFonts w:ascii="Times New Roman" w:hAnsi="Times New Roman" w:cs="Times New Roman"/>
          <w:sz w:val="24"/>
          <w:szCs w:val="24"/>
        </w:rPr>
        <w:t>Funds may be split equally for more than one PI on a given project.</w:t>
      </w:r>
      <w:r w:rsidR="00BC4F17" w:rsidRPr="00027893">
        <w:rPr>
          <w:rFonts w:ascii="Times New Roman" w:hAnsi="Times New Roman" w:cs="Times New Roman"/>
          <w:sz w:val="24"/>
          <w:szCs w:val="24"/>
        </w:rPr>
        <w:t xml:space="preserve"> </w:t>
      </w:r>
    </w:p>
    <w:p w14:paraId="3C6580D8" w14:textId="77777777" w:rsidR="00EB381C" w:rsidRPr="00027893" w:rsidRDefault="00EB381C" w:rsidP="00A22A49">
      <w:pPr>
        <w:pStyle w:val="xmsonormal"/>
        <w:spacing w:before="0" w:beforeAutospacing="0" w:after="0" w:afterAutospacing="0"/>
        <w:ind w:left="360"/>
        <w:rPr>
          <w:rFonts w:ascii="&amp;quot" w:hAnsi="&amp;quot"/>
          <w:color w:val="000000"/>
        </w:rPr>
      </w:pPr>
    </w:p>
    <w:p w14:paraId="2AB803A9" w14:textId="77777777" w:rsidR="00E808B5" w:rsidRPr="00187E2A" w:rsidRDefault="00E808B5" w:rsidP="001704EC">
      <w:pPr>
        <w:pStyle w:val="NoSpacing"/>
        <w:numPr>
          <w:ilvl w:val="0"/>
          <w:numId w:val="10"/>
        </w:numPr>
        <w:ind w:right="450"/>
        <w:jc w:val="both"/>
        <w:rPr>
          <w:rFonts w:ascii="Times New Roman" w:hAnsi="Times New Roman" w:cs="Times New Roman"/>
          <w:sz w:val="24"/>
          <w:szCs w:val="24"/>
        </w:rPr>
      </w:pPr>
      <w:r w:rsidRPr="00187E2A">
        <w:rPr>
          <w:rFonts w:ascii="Times New Roman" w:hAnsi="Times New Roman" w:cs="Times New Roman"/>
          <w:b/>
          <w:sz w:val="24"/>
          <w:szCs w:val="24"/>
        </w:rPr>
        <w:t>Ten percent (10%)</w:t>
      </w:r>
      <w:r w:rsidRPr="00187E2A">
        <w:rPr>
          <w:rFonts w:ascii="Times New Roman" w:hAnsi="Times New Roman" w:cs="Times New Roman"/>
          <w:sz w:val="24"/>
          <w:szCs w:val="24"/>
        </w:rPr>
        <w:t xml:space="preserve"> of the recovered indirect costs will be allocated to support </w:t>
      </w:r>
      <w:r w:rsidR="00202F92" w:rsidRPr="00187E2A">
        <w:rPr>
          <w:rFonts w:ascii="Times New Roman" w:hAnsi="Times New Roman" w:cs="Times New Roman"/>
          <w:sz w:val="24"/>
          <w:szCs w:val="24"/>
        </w:rPr>
        <w:t>the Principal I</w:t>
      </w:r>
      <w:r w:rsidRPr="00187E2A">
        <w:rPr>
          <w:rFonts w:ascii="Times New Roman" w:hAnsi="Times New Roman" w:cs="Times New Roman"/>
          <w:sz w:val="24"/>
          <w:szCs w:val="24"/>
        </w:rPr>
        <w:t>nvestigator’s department. Funds may be used to support departmental expenses at</w:t>
      </w:r>
      <w:r w:rsidR="007301C4" w:rsidRPr="00187E2A">
        <w:rPr>
          <w:rFonts w:ascii="Times New Roman" w:hAnsi="Times New Roman" w:cs="Times New Roman"/>
          <w:sz w:val="24"/>
          <w:szCs w:val="24"/>
        </w:rPr>
        <w:t xml:space="preserve"> the discretion of D</w:t>
      </w:r>
      <w:r w:rsidRPr="00187E2A">
        <w:rPr>
          <w:rFonts w:ascii="Times New Roman" w:hAnsi="Times New Roman" w:cs="Times New Roman"/>
          <w:sz w:val="24"/>
          <w:szCs w:val="24"/>
        </w:rPr>
        <w:t>epartmen</w:t>
      </w:r>
      <w:r w:rsidR="007301C4" w:rsidRPr="00187E2A">
        <w:rPr>
          <w:rFonts w:ascii="Times New Roman" w:hAnsi="Times New Roman" w:cs="Times New Roman"/>
          <w:sz w:val="24"/>
          <w:szCs w:val="24"/>
        </w:rPr>
        <w:t>t C</w:t>
      </w:r>
      <w:r w:rsidRPr="00187E2A">
        <w:rPr>
          <w:rFonts w:ascii="Times New Roman" w:hAnsi="Times New Roman" w:cs="Times New Roman"/>
          <w:sz w:val="24"/>
          <w:szCs w:val="24"/>
        </w:rPr>
        <w:t>hair in consultation with the respective</w:t>
      </w:r>
      <w:r w:rsidRPr="00187E2A">
        <w:rPr>
          <w:rFonts w:ascii="Times New Roman" w:hAnsi="Times New Roman" w:cs="Times New Roman"/>
          <w:spacing w:val="-23"/>
          <w:sz w:val="24"/>
          <w:szCs w:val="24"/>
        </w:rPr>
        <w:t xml:space="preserve"> </w:t>
      </w:r>
      <w:r w:rsidRPr="00187E2A">
        <w:rPr>
          <w:rFonts w:ascii="Times New Roman" w:hAnsi="Times New Roman" w:cs="Times New Roman"/>
          <w:sz w:val="24"/>
          <w:szCs w:val="24"/>
        </w:rPr>
        <w:t>Dean/Associate Dean.</w:t>
      </w:r>
      <w:r w:rsidR="00202F92" w:rsidRPr="00187E2A">
        <w:rPr>
          <w:rFonts w:ascii="Times New Roman" w:hAnsi="Times New Roman" w:cs="Times New Roman"/>
          <w:sz w:val="24"/>
          <w:szCs w:val="24"/>
        </w:rPr>
        <w:t xml:space="preserve"> Funds may be split </w:t>
      </w:r>
      <w:r w:rsidR="007301C4" w:rsidRPr="00187E2A">
        <w:rPr>
          <w:rFonts w:ascii="Times New Roman" w:hAnsi="Times New Roman" w:cs="Times New Roman"/>
          <w:sz w:val="24"/>
          <w:szCs w:val="24"/>
        </w:rPr>
        <w:t xml:space="preserve">equally between </w:t>
      </w:r>
      <w:r w:rsidR="009D4705" w:rsidRPr="00187E2A">
        <w:rPr>
          <w:rFonts w:ascii="Times New Roman" w:hAnsi="Times New Roman" w:cs="Times New Roman"/>
          <w:sz w:val="24"/>
          <w:szCs w:val="24"/>
        </w:rPr>
        <w:t>multiple</w:t>
      </w:r>
      <w:r w:rsidR="007301C4" w:rsidRPr="00187E2A">
        <w:rPr>
          <w:rFonts w:ascii="Times New Roman" w:hAnsi="Times New Roman" w:cs="Times New Roman"/>
          <w:sz w:val="24"/>
          <w:szCs w:val="24"/>
        </w:rPr>
        <w:t xml:space="preserve"> department</w:t>
      </w:r>
      <w:r w:rsidR="009D4705" w:rsidRPr="00187E2A">
        <w:rPr>
          <w:rFonts w:ascii="Times New Roman" w:hAnsi="Times New Roman" w:cs="Times New Roman"/>
          <w:sz w:val="24"/>
          <w:szCs w:val="24"/>
        </w:rPr>
        <w:t>s</w:t>
      </w:r>
      <w:r w:rsidR="007301C4" w:rsidRPr="00187E2A">
        <w:rPr>
          <w:rFonts w:ascii="Times New Roman" w:hAnsi="Times New Roman" w:cs="Times New Roman"/>
          <w:sz w:val="24"/>
          <w:szCs w:val="24"/>
        </w:rPr>
        <w:t xml:space="preserve"> for multiple-PIs who are expending the same amounts of effort on a given project. </w:t>
      </w:r>
    </w:p>
    <w:p w14:paraId="707130E6" w14:textId="77777777" w:rsidR="002931EA" w:rsidRPr="00187E2A" w:rsidRDefault="002931EA" w:rsidP="001704EC">
      <w:pPr>
        <w:pStyle w:val="NoSpacing"/>
        <w:ind w:right="630"/>
        <w:jc w:val="both"/>
        <w:rPr>
          <w:rFonts w:ascii="Times New Roman" w:hAnsi="Times New Roman" w:cs="Times New Roman"/>
          <w:sz w:val="24"/>
          <w:szCs w:val="24"/>
        </w:rPr>
      </w:pPr>
    </w:p>
    <w:p w14:paraId="416DE4D6" w14:textId="59709995" w:rsidR="00E808B5" w:rsidRPr="00187E2A" w:rsidRDefault="00202F92" w:rsidP="001704EC">
      <w:pPr>
        <w:pStyle w:val="NoSpacing"/>
        <w:numPr>
          <w:ilvl w:val="0"/>
          <w:numId w:val="10"/>
        </w:numPr>
        <w:ind w:right="450"/>
        <w:jc w:val="both"/>
        <w:rPr>
          <w:rFonts w:ascii="Times New Roman" w:hAnsi="Times New Roman" w:cs="Times New Roman"/>
          <w:sz w:val="24"/>
          <w:szCs w:val="24"/>
        </w:rPr>
      </w:pPr>
      <w:r w:rsidRPr="00187E2A">
        <w:rPr>
          <w:rFonts w:ascii="Times New Roman" w:hAnsi="Times New Roman" w:cs="Times New Roman"/>
          <w:b/>
          <w:sz w:val="24"/>
          <w:szCs w:val="24"/>
        </w:rPr>
        <w:t>Five</w:t>
      </w:r>
      <w:r w:rsidR="00E808B5" w:rsidRPr="00187E2A">
        <w:rPr>
          <w:rFonts w:ascii="Times New Roman" w:hAnsi="Times New Roman" w:cs="Times New Roman"/>
          <w:b/>
          <w:sz w:val="24"/>
          <w:szCs w:val="24"/>
        </w:rPr>
        <w:t xml:space="preserve"> percent (</w:t>
      </w:r>
      <w:r w:rsidRPr="00187E2A">
        <w:rPr>
          <w:rFonts w:ascii="Times New Roman" w:hAnsi="Times New Roman" w:cs="Times New Roman"/>
          <w:b/>
          <w:sz w:val="24"/>
          <w:szCs w:val="24"/>
        </w:rPr>
        <w:t>5</w:t>
      </w:r>
      <w:r w:rsidR="00E808B5" w:rsidRPr="00187E2A">
        <w:rPr>
          <w:rFonts w:ascii="Times New Roman" w:hAnsi="Times New Roman" w:cs="Times New Roman"/>
          <w:b/>
          <w:sz w:val="24"/>
          <w:szCs w:val="24"/>
        </w:rPr>
        <w:t>%)</w:t>
      </w:r>
      <w:r w:rsidR="00E808B5" w:rsidRPr="00187E2A">
        <w:rPr>
          <w:rFonts w:ascii="Times New Roman" w:hAnsi="Times New Roman" w:cs="Times New Roman"/>
          <w:sz w:val="24"/>
          <w:szCs w:val="24"/>
        </w:rPr>
        <w:t xml:space="preserve"> of the </w:t>
      </w:r>
      <w:r w:rsidRPr="00187E2A">
        <w:rPr>
          <w:rFonts w:ascii="Times New Roman" w:hAnsi="Times New Roman" w:cs="Times New Roman"/>
          <w:sz w:val="24"/>
          <w:szCs w:val="24"/>
        </w:rPr>
        <w:t xml:space="preserve">recovered </w:t>
      </w:r>
      <w:r w:rsidR="00E808B5" w:rsidRPr="00187E2A">
        <w:rPr>
          <w:rFonts w:ascii="Times New Roman" w:hAnsi="Times New Roman" w:cs="Times New Roman"/>
          <w:sz w:val="24"/>
          <w:szCs w:val="24"/>
        </w:rPr>
        <w:t>indirect cost</w:t>
      </w:r>
      <w:r w:rsidRPr="00187E2A">
        <w:rPr>
          <w:rFonts w:ascii="Times New Roman" w:hAnsi="Times New Roman" w:cs="Times New Roman"/>
          <w:sz w:val="24"/>
          <w:szCs w:val="24"/>
        </w:rPr>
        <w:t>s</w:t>
      </w:r>
      <w:r w:rsidR="00E808B5" w:rsidRPr="00187E2A">
        <w:rPr>
          <w:rFonts w:ascii="Times New Roman" w:hAnsi="Times New Roman" w:cs="Times New Roman"/>
          <w:sz w:val="24"/>
          <w:szCs w:val="24"/>
        </w:rPr>
        <w:t xml:space="preserve"> </w:t>
      </w:r>
      <w:r w:rsidRPr="00187E2A">
        <w:rPr>
          <w:rFonts w:ascii="Times New Roman" w:hAnsi="Times New Roman" w:cs="Times New Roman"/>
          <w:sz w:val="24"/>
          <w:szCs w:val="24"/>
        </w:rPr>
        <w:t>will be allocated to the Provost</w:t>
      </w:r>
      <w:r w:rsidR="00E808B5" w:rsidRPr="00187E2A">
        <w:rPr>
          <w:rFonts w:ascii="Times New Roman" w:hAnsi="Times New Roman" w:cs="Times New Roman"/>
          <w:sz w:val="24"/>
          <w:szCs w:val="24"/>
        </w:rPr>
        <w:t xml:space="preserve">. The </w:t>
      </w:r>
      <w:r w:rsidRPr="00187E2A">
        <w:rPr>
          <w:rFonts w:ascii="Times New Roman" w:hAnsi="Times New Roman" w:cs="Times New Roman"/>
          <w:sz w:val="24"/>
          <w:szCs w:val="24"/>
        </w:rPr>
        <w:t>Provost</w:t>
      </w:r>
      <w:r w:rsidR="00E808B5" w:rsidRPr="00187E2A">
        <w:rPr>
          <w:rFonts w:ascii="Times New Roman" w:hAnsi="Times New Roman" w:cs="Times New Roman"/>
          <w:sz w:val="24"/>
          <w:szCs w:val="24"/>
        </w:rPr>
        <w:t xml:space="preserve"> will use the funds at his/her discretion to </w:t>
      </w:r>
      <w:r w:rsidRPr="00187E2A">
        <w:rPr>
          <w:rFonts w:ascii="Times New Roman" w:hAnsi="Times New Roman" w:cs="Times New Roman"/>
          <w:sz w:val="24"/>
          <w:szCs w:val="24"/>
        </w:rPr>
        <w:t>support the greater needs of the JU’s academic programming.</w:t>
      </w:r>
    </w:p>
    <w:p w14:paraId="2FF0B432" w14:textId="77777777" w:rsidR="00E808B5" w:rsidRPr="00187E2A" w:rsidRDefault="00E808B5" w:rsidP="001704EC">
      <w:pPr>
        <w:pStyle w:val="NoSpacing"/>
        <w:ind w:right="450"/>
        <w:jc w:val="both"/>
        <w:rPr>
          <w:rFonts w:ascii="Times New Roman" w:hAnsi="Times New Roman" w:cs="Times New Roman"/>
          <w:sz w:val="24"/>
          <w:szCs w:val="24"/>
        </w:rPr>
      </w:pPr>
    </w:p>
    <w:p w14:paraId="7922C755" w14:textId="5429B771" w:rsidR="00C16CE7" w:rsidRDefault="00202F92" w:rsidP="00187E2A">
      <w:pPr>
        <w:pStyle w:val="NoSpacing"/>
        <w:numPr>
          <w:ilvl w:val="0"/>
          <w:numId w:val="10"/>
        </w:numPr>
        <w:ind w:right="450"/>
        <w:jc w:val="both"/>
        <w:rPr>
          <w:rFonts w:ascii="Times New Roman" w:hAnsi="Times New Roman" w:cs="Times New Roman"/>
          <w:sz w:val="24"/>
          <w:szCs w:val="24"/>
        </w:rPr>
      </w:pPr>
      <w:r w:rsidRPr="00187E2A">
        <w:rPr>
          <w:rFonts w:ascii="Times New Roman" w:hAnsi="Times New Roman" w:cs="Times New Roman"/>
          <w:b/>
          <w:sz w:val="24"/>
          <w:szCs w:val="24"/>
        </w:rPr>
        <w:t>Thirty</w:t>
      </w:r>
      <w:r w:rsidR="00E808B5" w:rsidRPr="00187E2A">
        <w:rPr>
          <w:rFonts w:ascii="Times New Roman" w:hAnsi="Times New Roman" w:cs="Times New Roman"/>
          <w:b/>
          <w:sz w:val="24"/>
          <w:szCs w:val="24"/>
        </w:rPr>
        <w:t xml:space="preserve"> percent (</w:t>
      </w:r>
      <w:r w:rsidRPr="00187E2A">
        <w:rPr>
          <w:rFonts w:ascii="Times New Roman" w:hAnsi="Times New Roman" w:cs="Times New Roman"/>
          <w:b/>
          <w:sz w:val="24"/>
          <w:szCs w:val="24"/>
        </w:rPr>
        <w:t>30</w:t>
      </w:r>
      <w:r w:rsidR="00E808B5" w:rsidRPr="00187E2A">
        <w:rPr>
          <w:rFonts w:ascii="Times New Roman" w:hAnsi="Times New Roman" w:cs="Times New Roman"/>
          <w:b/>
          <w:sz w:val="24"/>
          <w:szCs w:val="24"/>
        </w:rPr>
        <w:t>%)</w:t>
      </w:r>
      <w:r w:rsidR="00E808B5" w:rsidRPr="00187E2A">
        <w:rPr>
          <w:rFonts w:ascii="Times New Roman" w:hAnsi="Times New Roman" w:cs="Times New Roman"/>
          <w:sz w:val="24"/>
          <w:szCs w:val="24"/>
        </w:rPr>
        <w:t xml:space="preserve"> of </w:t>
      </w:r>
      <w:r w:rsidRPr="00187E2A">
        <w:rPr>
          <w:rFonts w:ascii="Times New Roman" w:hAnsi="Times New Roman" w:cs="Times New Roman"/>
          <w:sz w:val="24"/>
          <w:szCs w:val="24"/>
        </w:rPr>
        <w:t xml:space="preserve">the recovered </w:t>
      </w:r>
      <w:r w:rsidR="00E808B5" w:rsidRPr="00187E2A">
        <w:rPr>
          <w:rFonts w:ascii="Times New Roman" w:hAnsi="Times New Roman" w:cs="Times New Roman"/>
          <w:sz w:val="24"/>
          <w:szCs w:val="24"/>
        </w:rPr>
        <w:t>indirect costs will be allocated</w:t>
      </w:r>
      <w:r w:rsidRPr="00187E2A">
        <w:rPr>
          <w:rFonts w:ascii="Times New Roman" w:hAnsi="Times New Roman" w:cs="Times New Roman"/>
          <w:sz w:val="24"/>
          <w:szCs w:val="24"/>
        </w:rPr>
        <w:t xml:space="preserve"> to the Office of Research and Sponsored Programs</w:t>
      </w:r>
      <w:r w:rsidR="007301C4" w:rsidRPr="00187E2A">
        <w:rPr>
          <w:rFonts w:ascii="Times New Roman" w:hAnsi="Times New Roman" w:cs="Times New Roman"/>
          <w:sz w:val="24"/>
          <w:szCs w:val="24"/>
        </w:rPr>
        <w:t xml:space="preserve"> to support operating expenses including but not limited to </w:t>
      </w:r>
      <w:r w:rsidR="002D3572">
        <w:rPr>
          <w:rFonts w:ascii="Times New Roman" w:hAnsi="Times New Roman" w:cs="Times New Roman"/>
          <w:sz w:val="24"/>
          <w:szCs w:val="24"/>
        </w:rPr>
        <w:t>administrative</w:t>
      </w:r>
      <w:r w:rsidR="00AD5F54">
        <w:rPr>
          <w:rFonts w:ascii="Times New Roman" w:hAnsi="Times New Roman" w:cs="Times New Roman"/>
          <w:sz w:val="24"/>
          <w:szCs w:val="24"/>
        </w:rPr>
        <w:t xml:space="preserve"> </w:t>
      </w:r>
      <w:r w:rsidR="007301C4" w:rsidRPr="00187E2A">
        <w:rPr>
          <w:rFonts w:ascii="Times New Roman" w:hAnsi="Times New Roman" w:cs="Times New Roman"/>
          <w:sz w:val="24"/>
          <w:szCs w:val="24"/>
        </w:rPr>
        <w:t>resources</w:t>
      </w:r>
      <w:r w:rsidR="00EA6900">
        <w:rPr>
          <w:rFonts w:ascii="Times New Roman" w:hAnsi="Times New Roman" w:cs="Times New Roman"/>
          <w:sz w:val="24"/>
          <w:szCs w:val="24"/>
        </w:rPr>
        <w:t xml:space="preserve"> </w:t>
      </w:r>
      <w:r w:rsidR="00F52473">
        <w:rPr>
          <w:rFonts w:ascii="Times New Roman" w:hAnsi="Times New Roman" w:cs="Times New Roman"/>
          <w:sz w:val="24"/>
          <w:szCs w:val="24"/>
        </w:rPr>
        <w:t>and</w:t>
      </w:r>
      <w:r w:rsidR="00EA6900">
        <w:rPr>
          <w:rFonts w:ascii="Times New Roman" w:hAnsi="Times New Roman" w:cs="Times New Roman"/>
          <w:sz w:val="24"/>
          <w:szCs w:val="24"/>
        </w:rPr>
        <w:t xml:space="preserve"> other support for sponsored research activities.</w:t>
      </w:r>
    </w:p>
    <w:p w14:paraId="42A66FA7" w14:textId="77777777" w:rsidR="00C16CE7" w:rsidRDefault="00C16CE7" w:rsidP="00C16CE7">
      <w:pPr>
        <w:pStyle w:val="ListParagraph"/>
        <w:rPr>
          <w:rFonts w:ascii="Times New Roman" w:hAnsi="Times New Roman" w:cs="Times New Roman"/>
          <w:b/>
          <w:sz w:val="24"/>
          <w:szCs w:val="24"/>
        </w:rPr>
      </w:pPr>
    </w:p>
    <w:p w14:paraId="1B7D042B" w14:textId="12E1F199" w:rsidR="00203C74" w:rsidRPr="00C16CE7" w:rsidRDefault="00187E2A" w:rsidP="00C16CE7">
      <w:pPr>
        <w:pStyle w:val="NoSpacing"/>
        <w:ind w:right="450"/>
        <w:jc w:val="both"/>
        <w:rPr>
          <w:rFonts w:ascii="Times New Roman" w:hAnsi="Times New Roman" w:cs="Times New Roman"/>
          <w:sz w:val="24"/>
          <w:szCs w:val="24"/>
        </w:rPr>
      </w:pPr>
      <w:r w:rsidRPr="00C16CE7">
        <w:rPr>
          <w:rFonts w:ascii="Times New Roman" w:hAnsi="Times New Roman" w:cs="Times New Roman"/>
          <w:b/>
          <w:sz w:val="24"/>
          <w:szCs w:val="24"/>
        </w:rPr>
        <w:t>IDC Account Management</w:t>
      </w:r>
    </w:p>
    <w:p w14:paraId="2615B652" w14:textId="77777777" w:rsidR="00203C74" w:rsidRPr="00187E2A" w:rsidRDefault="00203C74" w:rsidP="00187E2A">
      <w:pPr>
        <w:pStyle w:val="NoSpacing"/>
        <w:rPr>
          <w:rFonts w:ascii="Times New Roman" w:hAnsi="Times New Roman" w:cs="Times New Roman"/>
          <w:sz w:val="24"/>
          <w:szCs w:val="24"/>
        </w:rPr>
      </w:pPr>
    </w:p>
    <w:p w14:paraId="08CA8E97" w14:textId="558B3D3C" w:rsidR="00595134" w:rsidRDefault="00595134" w:rsidP="00595134">
      <w:pPr>
        <w:pStyle w:val="NoSpacing"/>
        <w:numPr>
          <w:ilvl w:val="0"/>
          <w:numId w:val="13"/>
        </w:numPr>
        <w:spacing w:line="276" w:lineRule="auto"/>
        <w:rPr>
          <w:rFonts w:ascii="Times New Roman" w:hAnsi="Times New Roman" w:cs="Times New Roman"/>
          <w:sz w:val="24"/>
          <w:szCs w:val="24"/>
        </w:rPr>
      </w:pPr>
      <w:r w:rsidRPr="005C7FA9">
        <w:rPr>
          <w:rFonts w:ascii="Times New Roman" w:hAnsi="Times New Roman" w:cs="Times New Roman"/>
          <w:sz w:val="24"/>
          <w:szCs w:val="24"/>
        </w:rPr>
        <w:t>ORSP approval is required for</w:t>
      </w:r>
      <w:r>
        <w:rPr>
          <w:rFonts w:ascii="Times New Roman" w:hAnsi="Times New Roman" w:cs="Times New Roman"/>
          <w:sz w:val="24"/>
          <w:szCs w:val="24"/>
        </w:rPr>
        <w:t xml:space="preserve"> all IDC expenditures. Staff should verify in advance that their intended purchase is allowable.</w:t>
      </w:r>
    </w:p>
    <w:p w14:paraId="48BB080E" w14:textId="403737E1" w:rsidR="00EA6900" w:rsidRPr="00027893" w:rsidRDefault="00EA6900" w:rsidP="00EA6900">
      <w:pPr>
        <w:pStyle w:val="ListParagraph"/>
        <w:numPr>
          <w:ilvl w:val="0"/>
          <w:numId w:val="13"/>
        </w:numPr>
        <w:shd w:val="clear" w:color="auto" w:fill="FFFFFF"/>
        <w:spacing w:after="150"/>
        <w:rPr>
          <w:rFonts w:ascii="Times New Roman" w:hAnsi="Times New Roman" w:cs="Times New Roman"/>
          <w:sz w:val="24"/>
          <w:szCs w:val="24"/>
        </w:rPr>
      </w:pPr>
      <w:r>
        <w:rPr>
          <w:rFonts w:ascii="Times New Roman" w:hAnsi="Times New Roman" w:cs="Times New Roman"/>
          <w:sz w:val="24"/>
          <w:szCs w:val="24"/>
        </w:rPr>
        <w:lastRenderedPageBreak/>
        <w:t xml:space="preserve">Recovered </w:t>
      </w:r>
      <w:r w:rsidRPr="00187E2A">
        <w:rPr>
          <w:rFonts w:ascii="Times New Roman" w:hAnsi="Times New Roman" w:cs="Times New Roman"/>
          <w:sz w:val="24"/>
          <w:szCs w:val="24"/>
        </w:rPr>
        <w:t xml:space="preserve">IDC funds </w:t>
      </w:r>
      <w:r>
        <w:rPr>
          <w:rFonts w:ascii="Times New Roman" w:hAnsi="Times New Roman" w:cs="Times New Roman"/>
          <w:sz w:val="24"/>
          <w:szCs w:val="24"/>
        </w:rPr>
        <w:t xml:space="preserve">will be distributed </w:t>
      </w:r>
      <w:r w:rsidRPr="00187E2A">
        <w:rPr>
          <w:rFonts w:ascii="Times New Roman" w:hAnsi="Times New Roman" w:cs="Times New Roman"/>
          <w:sz w:val="24"/>
          <w:szCs w:val="24"/>
        </w:rPr>
        <w:t>in April, July, O</w:t>
      </w:r>
      <w:r>
        <w:rPr>
          <w:rFonts w:ascii="Times New Roman" w:hAnsi="Times New Roman" w:cs="Times New Roman"/>
          <w:sz w:val="24"/>
          <w:szCs w:val="24"/>
        </w:rPr>
        <w:t>ctober, and January of each year and</w:t>
      </w:r>
      <w:r w:rsidRPr="00187E2A">
        <w:rPr>
          <w:rFonts w:ascii="Times New Roman" w:hAnsi="Times New Roman" w:cs="Times New Roman"/>
          <w:sz w:val="24"/>
          <w:szCs w:val="24"/>
        </w:rPr>
        <w:t xml:space="preserve"> </w:t>
      </w:r>
      <w:r>
        <w:rPr>
          <w:rFonts w:ascii="Times New Roman" w:hAnsi="Times New Roman" w:cs="Times New Roman"/>
          <w:sz w:val="24"/>
          <w:szCs w:val="24"/>
        </w:rPr>
        <w:t xml:space="preserve">are </w:t>
      </w:r>
      <w:r w:rsidRPr="00187E2A">
        <w:rPr>
          <w:rFonts w:ascii="Times New Roman" w:hAnsi="Times New Roman" w:cs="Times New Roman"/>
          <w:sz w:val="24"/>
          <w:szCs w:val="24"/>
        </w:rPr>
        <w:t xml:space="preserve">transferred directly into the IDC accounts of the Principal Investigator and </w:t>
      </w:r>
      <w:r w:rsidRPr="00027893">
        <w:rPr>
          <w:rFonts w:ascii="Times New Roman" w:hAnsi="Times New Roman" w:cs="Times New Roman"/>
          <w:sz w:val="24"/>
          <w:szCs w:val="24"/>
        </w:rPr>
        <w:t xml:space="preserve">Department Chair. </w:t>
      </w:r>
    </w:p>
    <w:p w14:paraId="59B90BF3" w14:textId="417DAAC8" w:rsidR="00EA6900" w:rsidRPr="00027893" w:rsidRDefault="00EA6900" w:rsidP="000A7223">
      <w:pPr>
        <w:pStyle w:val="ListParagraph"/>
        <w:numPr>
          <w:ilvl w:val="0"/>
          <w:numId w:val="13"/>
        </w:numPr>
        <w:shd w:val="clear" w:color="auto" w:fill="FFFFFF"/>
        <w:spacing w:after="0"/>
        <w:rPr>
          <w:rFonts w:ascii="Times New Roman" w:hAnsi="Times New Roman" w:cs="Times New Roman"/>
          <w:sz w:val="24"/>
          <w:szCs w:val="24"/>
        </w:rPr>
      </w:pPr>
      <w:r w:rsidRPr="00027893">
        <w:rPr>
          <w:rFonts w:ascii="Times New Roman" w:hAnsi="Times New Roman" w:cs="Times New Roman"/>
          <w:b/>
          <w:sz w:val="24"/>
          <w:szCs w:val="24"/>
        </w:rPr>
        <w:t>Distribution of recovered IDC may differ for awards that include sponsor-mandated restrictions on indirect costs.</w:t>
      </w:r>
      <w:r w:rsidRPr="00027893">
        <w:rPr>
          <w:rFonts w:ascii="Times New Roman" w:hAnsi="Times New Roman" w:cs="Times New Roman"/>
          <w:sz w:val="24"/>
          <w:szCs w:val="24"/>
        </w:rPr>
        <w:t xml:space="preserve"> Awards from funding agencies who require application of a specified indirect cost rate that is different fro</w:t>
      </w:r>
      <w:r w:rsidR="005D5C4D" w:rsidRPr="00027893">
        <w:rPr>
          <w:rFonts w:ascii="Times New Roman" w:hAnsi="Times New Roman" w:cs="Times New Roman"/>
          <w:sz w:val="24"/>
          <w:szCs w:val="24"/>
        </w:rPr>
        <w:t xml:space="preserve">m JU’s federally-approved rate will be distributed equally between the PI, the ORSP, and the JU general revenue fund. </w:t>
      </w:r>
    </w:p>
    <w:p w14:paraId="7A7771FE" w14:textId="392326B2" w:rsidR="00EA6900" w:rsidRPr="00EA6900" w:rsidRDefault="00EA6900" w:rsidP="000A7223">
      <w:pPr>
        <w:pStyle w:val="NoSpacing"/>
        <w:numPr>
          <w:ilvl w:val="0"/>
          <w:numId w:val="13"/>
        </w:numPr>
        <w:spacing w:line="276" w:lineRule="auto"/>
        <w:contextualSpacing/>
        <w:rPr>
          <w:rFonts w:ascii="Times New Roman" w:hAnsi="Times New Roman" w:cs="Times New Roman"/>
          <w:sz w:val="24"/>
          <w:szCs w:val="24"/>
        </w:rPr>
      </w:pPr>
      <w:r w:rsidRPr="00027893">
        <w:rPr>
          <w:rFonts w:ascii="Times New Roman" w:hAnsi="Times New Roman" w:cs="Times New Roman"/>
          <w:sz w:val="24"/>
          <w:szCs w:val="24"/>
        </w:rPr>
        <w:t>PIs that retire or leave the University: If the PI plans to continue to perform research/projects as an emeritus faculty member, the account remains open and available for use</w:t>
      </w:r>
      <w:r w:rsidR="005D5C4D" w:rsidRPr="00027893">
        <w:rPr>
          <w:rFonts w:ascii="Times New Roman" w:hAnsi="Times New Roman" w:cs="Times New Roman"/>
          <w:sz w:val="24"/>
          <w:szCs w:val="24"/>
        </w:rPr>
        <w:t>, following the same parameters above for PI usage of their share</w:t>
      </w:r>
      <w:r w:rsidRPr="00027893">
        <w:rPr>
          <w:rFonts w:ascii="Times New Roman" w:hAnsi="Times New Roman" w:cs="Times New Roman"/>
          <w:sz w:val="24"/>
          <w:szCs w:val="24"/>
        </w:rPr>
        <w:t>. If not, the account will be closed and the remaining funds in the account will be allocated</w:t>
      </w:r>
      <w:r w:rsidRPr="00187E2A">
        <w:rPr>
          <w:rFonts w:ascii="Times New Roman" w:hAnsi="Times New Roman" w:cs="Times New Roman"/>
          <w:sz w:val="24"/>
          <w:szCs w:val="24"/>
        </w:rPr>
        <w:t xml:space="preserve"> to the Department. </w:t>
      </w:r>
    </w:p>
    <w:p w14:paraId="71DD9E7B" w14:textId="73C5ABB6" w:rsidR="00EA6900" w:rsidRDefault="00EA6900" w:rsidP="00C16CE7">
      <w:pPr>
        <w:pStyle w:val="NoSpacing"/>
        <w:numPr>
          <w:ilvl w:val="0"/>
          <w:numId w:val="13"/>
        </w:numPr>
        <w:spacing w:line="276" w:lineRule="auto"/>
        <w:rPr>
          <w:rFonts w:ascii="Times New Roman" w:hAnsi="Times New Roman" w:cs="Times New Roman"/>
          <w:sz w:val="24"/>
          <w:szCs w:val="24"/>
        </w:rPr>
      </w:pPr>
      <w:r>
        <w:rPr>
          <w:rFonts w:ascii="Times New Roman" w:hAnsi="Times New Roman" w:cs="Times New Roman"/>
          <w:sz w:val="24"/>
          <w:szCs w:val="24"/>
        </w:rPr>
        <w:t>Excluded Uses of IDC</w:t>
      </w:r>
    </w:p>
    <w:p w14:paraId="64BD87DC" w14:textId="0DBB565B" w:rsidR="00187E2A" w:rsidRDefault="00203C74" w:rsidP="00911A66">
      <w:pPr>
        <w:pStyle w:val="NoSpacing"/>
        <w:numPr>
          <w:ilvl w:val="1"/>
          <w:numId w:val="13"/>
        </w:numPr>
        <w:spacing w:line="276" w:lineRule="auto"/>
        <w:rPr>
          <w:rFonts w:ascii="Times New Roman" w:hAnsi="Times New Roman" w:cs="Times New Roman"/>
          <w:sz w:val="24"/>
          <w:szCs w:val="24"/>
        </w:rPr>
      </w:pPr>
      <w:r w:rsidRPr="00187E2A">
        <w:rPr>
          <w:rFonts w:ascii="Times New Roman" w:hAnsi="Times New Roman" w:cs="Times New Roman"/>
          <w:sz w:val="24"/>
          <w:szCs w:val="24"/>
        </w:rPr>
        <w:t>Purchases for</w:t>
      </w:r>
      <w:r w:rsidR="00DF1C3B" w:rsidRPr="005C7FA9">
        <w:rPr>
          <w:rFonts w:ascii="Times New Roman" w:hAnsi="Times New Roman" w:cs="Times New Roman"/>
          <w:sz w:val="24"/>
          <w:szCs w:val="24"/>
        </w:rPr>
        <w:t xml:space="preserve"> computers (laptops, desktops, tablets)</w:t>
      </w:r>
      <w:r w:rsidR="00DF1C3B">
        <w:rPr>
          <w:rFonts w:ascii="Times New Roman" w:hAnsi="Times New Roman" w:cs="Times New Roman"/>
          <w:sz w:val="24"/>
          <w:szCs w:val="24"/>
        </w:rPr>
        <w:t xml:space="preserve"> </w:t>
      </w:r>
      <w:r w:rsidRPr="00187E2A">
        <w:rPr>
          <w:rFonts w:ascii="Times New Roman" w:hAnsi="Times New Roman" w:cs="Times New Roman"/>
          <w:sz w:val="24"/>
          <w:szCs w:val="24"/>
        </w:rPr>
        <w:t xml:space="preserve">and/or </w:t>
      </w:r>
      <w:r w:rsidR="00BC4F17" w:rsidRPr="00187E2A">
        <w:rPr>
          <w:rFonts w:ascii="Times New Roman" w:hAnsi="Times New Roman" w:cs="Times New Roman"/>
          <w:sz w:val="24"/>
          <w:szCs w:val="24"/>
        </w:rPr>
        <w:t>gift</w:t>
      </w:r>
      <w:r w:rsidR="00A8348A">
        <w:rPr>
          <w:rFonts w:ascii="Times New Roman" w:hAnsi="Times New Roman" w:cs="Times New Roman"/>
          <w:sz w:val="24"/>
          <w:szCs w:val="24"/>
        </w:rPr>
        <w:t>s or gift</w:t>
      </w:r>
      <w:bookmarkStart w:id="0" w:name="_GoBack"/>
      <w:bookmarkEnd w:id="0"/>
      <w:r w:rsidR="00BC4F17" w:rsidRPr="00187E2A">
        <w:rPr>
          <w:rFonts w:ascii="Times New Roman" w:hAnsi="Times New Roman" w:cs="Times New Roman"/>
          <w:sz w:val="24"/>
          <w:szCs w:val="24"/>
        </w:rPr>
        <w:t xml:space="preserve"> cards are not allowable uses of IDC funds.</w:t>
      </w:r>
    </w:p>
    <w:p w14:paraId="5611F02B" w14:textId="14C0F94B" w:rsidR="00187E2A" w:rsidRDefault="00DF1C3B" w:rsidP="00911A66">
      <w:pPr>
        <w:pStyle w:val="NoSpacing"/>
        <w:numPr>
          <w:ilvl w:val="1"/>
          <w:numId w:val="13"/>
        </w:numPr>
        <w:spacing w:line="276" w:lineRule="auto"/>
        <w:rPr>
          <w:rFonts w:ascii="Times New Roman" w:hAnsi="Times New Roman" w:cs="Times New Roman"/>
          <w:sz w:val="24"/>
          <w:szCs w:val="24"/>
        </w:rPr>
      </w:pPr>
      <w:r>
        <w:rPr>
          <w:rFonts w:ascii="Times New Roman" w:hAnsi="Times New Roman" w:cs="Times New Roman"/>
          <w:sz w:val="24"/>
          <w:szCs w:val="24"/>
        </w:rPr>
        <w:t>F</w:t>
      </w:r>
      <w:r w:rsidR="00BC4F17" w:rsidRPr="00187E2A">
        <w:rPr>
          <w:rFonts w:ascii="Times New Roman" w:hAnsi="Times New Roman" w:cs="Times New Roman"/>
          <w:sz w:val="24"/>
          <w:szCs w:val="24"/>
        </w:rPr>
        <w:t>aculty supplemental compensation is not allowed</w:t>
      </w:r>
      <w:r>
        <w:rPr>
          <w:rFonts w:ascii="Times New Roman" w:hAnsi="Times New Roman" w:cs="Times New Roman"/>
          <w:sz w:val="24"/>
          <w:szCs w:val="24"/>
        </w:rPr>
        <w:t>. C</w:t>
      </w:r>
      <w:r w:rsidR="00BC4F17" w:rsidRPr="00187E2A">
        <w:rPr>
          <w:rFonts w:ascii="Times New Roman" w:hAnsi="Times New Roman" w:cs="Times New Roman"/>
          <w:sz w:val="24"/>
          <w:szCs w:val="24"/>
        </w:rPr>
        <w:t>ourse releases for sponsored program activities</w:t>
      </w:r>
      <w:r w:rsidR="00203C74" w:rsidRPr="00187E2A">
        <w:rPr>
          <w:rFonts w:ascii="Times New Roman" w:hAnsi="Times New Roman" w:cs="Times New Roman"/>
          <w:sz w:val="24"/>
          <w:szCs w:val="24"/>
        </w:rPr>
        <w:t>,</w:t>
      </w:r>
      <w:r w:rsidR="00BC4F17" w:rsidRPr="00187E2A">
        <w:rPr>
          <w:rFonts w:ascii="Times New Roman" w:hAnsi="Times New Roman" w:cs="Times New Roman"/>
          <w:sz w:val="24"/>
          <w:szCs w:val="24"/>
        </w:rPr>
        <w:t xml:space="preserve"> as approved by the department chair</w:t>
      </w:r>
      <w:r w:rsidR="00203C74" w:rsidRPr="00187E2A">
        <w:rPr>
          <w:rFonts w:ascii="Times New Roman" w:hAnsi="Times New Roman" w:cs="Times New Roman"/>
          <w:sz w:val="24"/>
          <w:szCs w:val="24"/>
        </w:rPr>
        <w:t>,</w:t>
      </w:r>
      <w:r w:rsidR="00BC4F17" w:rsidRPr="00187E2A">
        <w:rPr>
          <w:rFonts w:ascii="Times New Roman" w:hAnsi="Times New Roman" w:cs="Times New Roman"/>
          <w:sz w:val="24"/>
          <w:szCs w:val="24"/>
        </w:rPr>
        <w:t xml:space="preserve"> </w:t>
      </w:r>
      <w:r w:rsidR="00203C74" w:rsidRPr="00187E2A">
        <w:rPr>
          <w:rFonts w:ascii="Times New Roman" w:hAnsi="Times New Roman" w:cs="Times New Roman"/>
          <w:sz w:val="24"/>
          <w:szCs w:val="24"/>
        </w:rPr>
        <w:t xml:space="preserve">are allowable. </w:t>
      </w:r>
    </w:p>
    <w:p w14:paraId="0B5021C5" w14:textId="77777777" w:rsidR="000F2A90" w:rsidRDefault="000F2A90" w:rsidP="00187E2A">
      <w:pPr>
        <w:pStyle w:val="NoSpacing"/>
        <w:rPr>
          <w:rFonts w:ascii="Times New Roman" w:hAnsi="Times New Roman" w:cs="Times New Roman"/>
          <w:sz w:val="24"/>
          <w:szCs w:val="24"/>
        </w:rPr>
      </w:pPr>
    </w:p>
    <w:p w14:paraId="323D6F4B" w14:textId="4C02324A" w:rsidR="000608B7" w:rsidRPr="00187E2A" w:rsidRDefault="000608B7" w:rsidP="00187E2A">
      <w:pPr>
        <w:pStyle w:val="NoSpacing"/>
        <w:rPr>
          <w:rFonts w:ascii="Times New Roman" w:hAnsi="Times New Roman" w:cs="Times New Roman"/>
          <w:sz w:val="24"/>
          <w:szCs w:val="24"/>
        </w:rPr>
      </w:pPr>
      <w:r w:rsidRPr="00187E2A">
        <w:rPr>
          <w:rFonts w:ascii="Times New Roman" w:hAnsi="Times New Roman" w:cs="Times New Roman"/>
          <w:sz w:val="24"/>
          <w:szCs w:val="24"/>
        </w:rPr>
        <w:t>References</w:t>
      </w:r>
    </w:p>
    <w:p w14:paraId="79E3697C" w14:textId="77777777" w:rsidR="00F43C9A" w:rsidRPr="00187E2A" w:rsidRDefault="009D4705" w:rsidP="00187E2A">
      <w:pPr>
        <w:pStyle w:val="NoSpacing"/>
        <w:rPr>
          <w:rFonts w:ascii="Times New Roman" w:hAnsi="Times New Roman" w:cs="Times New Roman"/>
          <w:sz w:val="24"/>
          <w:szCs w:val="24"/>
        </w:rPr>
      </w:pPr>
      <w:r w:rsidRPr="00187E2A">
        <w:rPr>
          <w:rFonts w:ascii="Times New Roman" w:hAnsi="Times New Roman" w:cs="Times New Roman"/>
          <w:sz w:val="24"/>
          <w:szCs w:val="24"/>
        </w:rPr>
        <w:t xml:space="preserve">1.  </w:t>
      </w:r>
      <w:hyperlink r:id="rId8" w:history="1">
        <w:r w:rsidR="00F43C9A" w:rsidRPr="00187E2A">
          <w:rPr>
            <w:rStyle w:val="Hyperlink"/>
            <w:rFonts w:ascii="Times New Roman" w:hAnsi="Times New Roman" w:cs="Times New Roman"/>
            <w:sz w:val="24"/>
            <w:szCs w:val="24"/>
          </w:rPr>
          <w:t>Code of Federal Regulations, Uniform Administrative Requirements, Cost Principles, and Audit Requirements for Federal Awards</w:t>
        </w:r>
        <w:r w:rsidR="006F1732" w:rsidRPr="00187E2A">
          <w:rPr>
            <w:rStyle w:val="Hyperlink"/>
            <w:rFonts w:ascii="Times New Roman" w:hAnsi="Times New Roman" w:cs="Times New Roman"/>
            <w:sz w:val="24"/>
            <w:szCs w:val="24"/>
          </w:rPr>
          <w:t xml:space="preserve"> (2 CFR 200)</w:t>
        </w:r>
        <w:r w:rsidR="00F43C9A" w:rsidRPr="00187E2A">
          <w:rPr>
            <w:rStyle w:val="Hyperlink"/>
            <w:rFonts w:ascii="Times New Roman" w:hAnsi="Times New Roman" w:cs="Times New Roman"/>
            <w:sz w:val="24"/>
            <w:szCs w:val="24"/>
          </w:rPr>
          <w:t>.</w:t>
        </w:r>
      </w:hyperlink>
      <w:r w:rsidR="00F43C9A" w:rsidRPr="00187E2A">
        <w:rPr>
          <w:rFonts w:ascii="Times New Roman" w:hAnsi="Times New Roman" w:cs="Times New Roman"/>
          <w:sz w:val="24"/>
          <w:szCs w:val="24"/>
        </w:rPr>
        <w:t xml:space="preserve"> </w:t>
      </w:r>
    </w:p>
    <w:p w14:paraId="2452A0B3" w14:textId="77777777" w:rsidR="005071E0" w:rsidRPr="00187E2A" w:rsidRDefault="005071E0" w:rsidP="00187E2A">
      <w:pPr>
        <w:pStyle w:val="NoSpacing"/>
        <w:rPr>
          <w:rFonts w:ascii="Times New Roman" w:hAnsi="Times New Roman" w:cs="Times New Roman"/>
          <w:sz w:val="24"/>
          <w:szCs w:val="24"/>
        </w:rPr>
      </w:pPr>
    </w:p>
    <w:p w14:paraId="10EBC72D" w14:textId="77777777" w:rsidR="000608B7" w:rsidRPr="002931EA" w:rsidRDefault="009D4705" w:rsidP="00187E2A">
      <w:pPr>
        <w:pStyle w:val="NoSpacing"/>
      </w:pPr>
      <w:r w:rsidRPr="00187E2A">
        <w:rPr>
          <w:rFonts w:ascii="Times New Roman" w:hAnsi="Times New Roman" w:cs="Times New Roman"/>
          <w:sz w:val="24"/>
          <w:szCs w:val="24"/>
        </w:rPr>
        <w:t xml:space="preserve">2.  </w:t>
      </w:r>
      <w:r w:rsidR="00F43C9A" w:rsidRPr="00187E2A">
        <w:rPr>
          <w:rFonts w:ascii="Times New Roman" w:hAnsi="Times New Roman" w:cs="Times New Roman"/>
          <w:sz w:val="24"/>
          <w:szCs w:val="24"/>
        </w:rPr>
        <w:t xml:space="preserve">Jacksonville </w:t>
      </w:r>
      <w:r w:rsidR="00490016" w:rsidRPr="00187E2A">
        <w:rPr>
          <w:rFonts w:ascii="Times New Roman" w:hAnsi="Times New Roman" w:cs="Times New Roman"/>
          <w:sz w:val="24"/>
          <w:szCs w:val="24"/>
        </w:rPr>
        <w:t xml:space="preserve">University’s </w:t>
      </w:r>
      <w:hyperlink r:id="rId9" w:history="1">
        <w:r w:rsidR="00F43C9A" w:rsidRPr="00187E2A">
          <w:rPr>
            <w:rStyle w:val="Hyperlink"/>
            <w:rFonts w:ascii="Times New Roman" w:hAnsi="Times New Roman" w:cs="Times New Roman"/>
            <w:sz w:val="24"/>
            <w:szCs w:val="24"/>
          </w:rPr>
          <w:t>Indirect Cost Rate Agreement</w:t>
        </w:r>
      </w:hyperlink>
    </w:p>
    <w:sectPr w:rsidR="000608B7" w:rsidRPr="002931EA" w:rsidSect="00DB48B5">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E27A3" w14:textId="77777777" w:rsidR="00E35040" w:rsidRDefault="00E35040" w:rsidP="000608B7">
      <w:pPr>
        <w:spacing w:after="0" w:line="240" w:lineRule="auto"/>
      </w:pPr>
      <w:r>
        <w:separator/>
      </w:r>
    </w:p>
  </w:endnote>
  <w:endnote w:type="continuationSeparator" w:id="0">
    <w:p w14:paraId="383154D1" w14:textId="77777777" w:rsidR="00E35040" w:rsidRDefault="00E35040" w:rsidP="00060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021481"/>
      <w:docPartObj>
        <w:docPartGallery w:val="Page Numbers (Bottom of Page)"/>
        <w:docPartUnique/>
      </w:docPartObj>
    </w:sdtPr>
    <w:sdtEndPr>
      <w:rPr>
        <w:noProof/>
      </w:rPr>
    </w:sdtEndPr>
    <w:sdtContent>
      <w:p w14:paraId="063A0A12" w14:textId="563D86ED" w:rsidR="00DB48B5" w:rsidRDefault="00DB48B5">
        <w:pPr>
          <w:pStyle w:val="Footer"/>
          <w:jc w:val="right"/>
        </w:pPr>
        <w:r>
          <w:fldChar w:fldCharType="begin"/>
        </w:r>
        <w:r>
          <w:instrText xml:space="preserve"> PAGE   \* MERGEFORMAT </w:instrText>
        </w:r>
        <w:r>
          <w:fldChar w:fldCharType="separate"/>
        </w:r>
        <w:r w:rsidR="00A8348A">
          <w:rPr>
            <w:noProof/>
          </w:rPr>
          <w:t>3</w:t>
        </w:r>
        <w:r>
          <w:rPr>
            <w:noProof/>
          </w:rPr>
          <w:fldChar w:fldCharType="end"/>
        </w:r>
      </w:p>
    </w:sdtContent>
  </w:sdt>
  <w:p w14:paraId="243BBD3E" w14:textId="1E40D493" w:rsidR="00DB48B5" w:rsidRPr="00DB48B5" w:rsidRDefault="00EB381C" w:rsidP="00DB48B5">
    <w:pPr>
      <w:pStyle w:val="Header"/>
      <w:rPr>
        <w:rFonts w:ascii="Times New Roman" w:hAnsi="Times New Roman" w:cs="Times New Roman"/>
      </w:rPr>
    </w:pPr>
    <w:r>
      <w:rPr>
        <w:rFonts w:ascii="Times New Roman" w:hAnsi="Times New Roman" w:cs="Times New Roman"/>
      </w:rPr>
      <w:t xml:space="preserve">4.1 ORSP IDC Distribution </w:t>
    </w:r>
    <w:r w:rsidR="00D94112">
      <w:rPr>
        <w:rFonts w:ascii="Times New Roman" w:hAnsi="Times New Roman" w:cs="Times New Roman"/>
      </w:rPr>
      <w:t>REV October</w:t>
    </w:r>
    <w:r w:rsidR="00D94112" w:rsidRPr="00DB48B5">
      <w:rPr>
        <w:rFonts w:ascii="Times New Roman" w:hAnsi="Times New Roman" w:cs="Times New Roman"/>
      </w:rPr>
      <w:t xml:space="preserve"> </w:t>
    </w:r>
    <w:r w:rsidR="00DB48B5" w:rsidRPr="00DB48B5">
      <w:rPr>
        <w:rFonts w:ascii="Times New Roman" w:hAnsi="Times New Roman" w:cs="Times New Roman"/>
      </w:rPr>
      <w:t>2018</w:t>
    </w:r>
  </w:p>
  <w:p w14:paraId="3D7E2318" w14:textId="77777777" w:rsidR="001704EC" w:rsidRPr="00DB48B5" w:rsidRDefault="001704EC">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EC229" w14:textId="3A436188" w:rsidR="001704EC" w:rsidRPr="00DB48B5" w:rsidRDefault="00AD5F54" w:rsidP="00DB48B5">
    <w:pPr>
      <w:pStyle w:val="Header"/>
      <w:rPr>
        <w:rFonts w:ascii="Times New Roman" w:hAnsi="Times New Roman" w:cs="Times New Roman"/>
      </w:rPr>
    </w:pPr>
    <w:r>
      <w:rPr>
        <w:rFonts w:ascii="Times New Roman" w:hAnsi="Times New Roman" w:cs="Times New Roman"/>
      </w:rPr>
      <w:t xml:space="preserve">4.1 ORSP IDC Distribution </w:t>
    </w:r>
    <w:r w:rsidR="00027893">
      <w:rPr>
        <w:rFonts w:ascii="Times New Roman" w:hAnsi="Times New Roman" w:cs="Times New Roman"/>
      </w:rPr>
      <w:t>REV 8/15/18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75182" w14:textId="77777777" w:rsidR="00E35040" w:rsidRDefault="00E35040" w:rsidP="000608B7">
      <w:pPr>
        <w:spacing w:after="0" w:line="240" w:lineRule="auto"/>
      </w:pPr>
      <w:r>
        <w:separator/>
      </w:r>
    </w:p>
  </w:footnote>
  <w:footnote w:type="continuationSeparator" w:id="0">
    <w:p w14:paraId="59680DD5" w14:textId="77777777" w:rsidR="00E35040" w:rsidRDefault="00E35040" w:rsidP="00060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C128F" w14:textId="77777777" w:rsidR="000608B7" w:rsidRPr="00DB48B5" w:rsidRDefault="000608B7" w:rsidP="006B5C9F">
    <w:pPr>
      <w:pStyle w:val="Header"/>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05A28" w14:textId="77777777" w:rsidR="006B5C9F" w:rsidRDefault="006B5C9F" w:rsidP="006B5C9F">
    <w:pPr>
      <w:pStyle w:val="Header"/>
      <w:jc w:val="center"/>
    </w:pPr>
    <w:r>
      <w:rPr>
        <w:noProof/>
      </w:rPr>
      <w:drawing>
        <wp:anchor distT="0" distB="0" distL="114300" distR="114300" simplePos="0" relativeHeight="251659264" behindDoc="1" locked="0" layoutInCell="1" allowOverlap="1" wp14:anchorId="5F0541F2" wp14:editId="67BFD31A">
          <wp:simplePos x="0" y="0"/>
          <wp:positionH relativeFrom="column">
            <wp:posOffset>1162050</wp:posOffset>
          </wp:positionH>
          <wp:positionV relativeFrom="paragraph">
            <wp:posOffset>0</wp:posOffset>
          </wp:positionV>
          <wp:extent cx="3619500" cy="883285"/>
          <wp:effectExtent l="0" t="0" r="3810" b="0"/>
          <wp:wrapTight wrapText="bothSides">
            <wp:wrapPolygon edited="0">
              <wp:start x="0" y="0"/>
              <wp:lineTo x="0" y="19973"/>
              <wp:lineTo x="21383" y="19973"/>
              <wp:lineTo x="21383"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SP_Logo_Signatu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19500" cy="8832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402"/>
    <w:multiLevelType w:val="multilevel"/>
    <w:tmpl w:val="00000885"/>
    <w:lvl w:ilvl="0">
      <w:start w:val="1"/>
      <w:numFmt w:val="upperLetter"/>
      <w:lvlText w:val="%1."/>
      <w:lvlJc w:val="left"/>
      <w:pPr>
        <w:ind w:left="820" w:hanging="361"/>
      </w:pPr>
      <w:rPr>
        <w:rFonts w:ascii="Times New Roman" w:hAnsi="Times New Roman" w:cs="Times New Roman"/>
        <w:b w:val="0"/>
        <w:bCs w:val="0"/>
        <w:w w:val="100"/>
        <w:sz w:val="23"/>
        <w:szCs w:val="23"/>
      </w:rPr>
    </w:lvl>
    <w:lvl w:ilvl="1">
      <w:numFmt w:val="bullet"/>
      <w:lvlText w:val=""/>
      <w:lvlJc w:val="left"/>
      <w:pPr>
        <w:ind w:left="1540" w:hanging="360"/>
      </w:pPr>
      <w:rPr>
        <w:rFonts w:ascii="Symbol" w:hAnsi="Symbol" w:cs="Symbol"/>
        <w:b w:val="0"/>
        <w:bCs w:val="0"/>
        <w:w w:val="100"/>
        <w:sz w:val="23"/>
        <w:szCs w:val="23"/>
      </w:rPr>
    </w:lvl>
    <w:lvl w:ilvl="2">
      <w:numFmt w:val="bullet"/>
      <w:lvlText w:val="•"/>
      <w:lvlJc w:val="left"/>
      <w:pPr>
        <w:ind w:left="2353" w:hanging="360"/>
      </w:pPr>
    </w:lvl>
    <w:lvl w:ilvl="3">
      <w:numFmt w:val="bullet"/>
      <w:lvlText w:val="•"/>
      <w:lvlJc w:val="left"/>
      <w:pPr>
        <w:ind w:left="3166" w:hanging="360"/>
      </w:pPr>
    </w:lvl>
    <w:lvl w:ilvl="4">
      <w:numFmt w:val="bullet"/>
      <w:lvlText w:val="•"/>
      <w:lvlJc w:val="left"/>
      <w:pPr>
        <w:ind w:left="3980" w:hanging="360"/>
      </w:pPr>
    </w:lvl>
    <w:lvl w:ilvl="5">
      <w:numFmt w:val="bullet"/>
      <w:lvlText w:val="•"/>
      <w:lvlJc w:val="left"/>
      <w:pPr>
        <w:ind w:left="4793" w:hanging="360"/>
      </w:pPr>
    </w:lvl>
    <w:lvl w:ilvl="6">
      <w:numFmt w:val="bullet"/>
      <w:lvlText w:val="•"/>
      <w:lvlJc w:val="left"/>
      <w:pPr>
        <w:ind w:left="5606" w:hanging="360"/>
      </w:pPr>
    </w:lvl>
    <w:lvl w:ilvl="7">
      <w:numFmt w:val="bullet"/>
      <w:lvlText w:val="•"/>
      <w:lvlJc w:val="left"/>
      <w:pPr>
        <w:ind w:left="6420" w:hanging="360"/>
      </w:pPr>
    </w:lvl>
    <w:lvl w:ilvl="8">
      <w:numFmt w:val="bullet"/>
      <w:lvlText w:val="•"/>
      <w:lvlJc w:val="left"/>
      <w:pPr>
        <w:ind w:left="7233" w:hanging="360"/>
      </w:pPr>
    </w:lvl>
  </w:abstractNum>
  <w:abstractNum w:abstractNumId="4" w15:restartNumberingAfterBreak="0">
    <w:nsid w:val="027E38E6"/>
    <w:multiLevelType w:val="hybridMultilevel"/>
    <w:tmpl w:val="2474E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D926DF"/>
    <w:multiLevelType w:val="hybridMultilevel"/>
    <w:tmpl w:val="698A578A"/>
    <w:lvl w:ilvl="0" w:tplc="973C3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A22E89"/>
    <w:multiLevelType w:val="hybridMultilevel"/>
    <w:tmpl w:val="F3BE7E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F01FD7"/>
    <w:multiLevelType w:val="multilevel"/>
    <w:tmpl w:val="7F94B8E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5E5235C7"/>
    <w:multiLevelType w:val="hybridMultilevel"/>
    <w:tmpl w:val="9AF8BD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EB74B42"/>
    <w:multiLevelType w:val="hybridMultilevel"/>
    <w:tmpl w:val="CC2EB86A"/>
    <w:lvl w:ilvl="0" w:tplc="05F27F30">
      <w:numFmt w:val="bullet"/>
      <w:lvlText w:val="-"/>
      <w:lvlJc w:val="left"/>
      <w:pPr>
        <w:ind w:left="720" w:hanging="360"/>
      </w:pPr>
      <w:rPr>
        <w:rFonts w:ascii="&amp;quot" w:eastAsia="Times New Roman" w:hAnsi="&amp;quo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BB1B45"/>
    <w:multiLevelType w:val="hybridMultilevel"/>
    <w:tmpl w:val="CA12C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7B61BC"/>
    <w:multiLevelType w:val="multilevel"/>
    <w:tmpl w:val="7F94B8E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730A224D"/>
    <w:multiLevelType w:val="hybridMultilevel"/>
    <w:tmpl w:val="5422201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265618"/>
    <w:multiLevelType w:val="multilevel"/>
    <w:tmpl w:val="3DDEE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F94044"/>
    <w:multiLevelType w:val="hybridMultilevel"/>
    <w:tmpl w:val="6BFC3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13"/>
  </w:num>
  <w:num w:numId="6">
    <w:abstractNumId w:val="5"/>
  </w:num>
  <w:num w:numId="7">
    <w:abstractNumId w:val="7"/>
  </w:num>
  <w:num w:numId="8">
    <w:abstractNumId w:val="3"/>
  </w:num>
  <w:num w:numId="9">
    <w:abstractNumId w:val="11"/>
  </w:num>
  <w:num w:numId="10">
    <w:abstractNumId w:val="10"/>
  </w:num>
  <w:num w:numId="11">
    <w:abstractNumId w:val="4"/>
  </w:num>
  <w:num w:numId="12">
    <w:abstractNumId w:val="14"/>
  </w:num>
  <w:num w:numId="13">
    <w:abstractNumId w:val="12"/>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8B7"/>
    <w:rsid w:val="00004E8F"/>
    <w:rsid w:val="00027893"/>
    <w:rsid w:val="000608B7"/>
    <w:rsid w:val="00064A78"/>
    <w:rsid w:val="000A7223"/>
    <w:rsid w:val="000F2A90"/>
    <w:rsid w:val="0016353A"/>
    <w:rsid w:val="00167616"/>
    <w:rsid w:val="001704EC"/>
    <w:rsid w:val="0018058F"/>
    <w:rsid w:val="001867F0"/>
    <w:rsid w:val="00187E2A"/>
    <w:rsid w:val="001C31B2"/>
    <w:rsid w:val="001F0DDA"/>
    <w:rsid w:val="00202F92"/>
    <w:rsid w:val="00203C74"/>
    <w:rsid w:val="00221DEC"/>
    <w:rsid w:val="00224E81"/>
    <w:rsid w:val="00284356"/>
    <w:rsid w:val="002931EA"/>
    <w:rsid w:val="00295386"/>
    <w:rsid w:val="002D3572"/>
    <w:rsid w:val="00347533"/>
    <w:rsid w:val="00354B5C"/>
    <w:rsid w:val="0041592B"/>
    <w:rsid w:val="004526E5"/>
    <w:rsid w:val="0047409E"/>
    <w:rsid w:val="00490016"/>
    <w:rsid w:val="004F5D9A"/>
    <w:rsid w:val="005071E0"/>
    <w:rsid w:val="00533BFE"/>
    <w:rsid w:val="005351C4"/>
    <w:rsid w:val="0054748F"/>
    <w:rsid w:val="00557CF6"/>
    <w:rsid w:val="00595134"/>
    <w:rsid w:val="0059653B"/>
    <w:rsid w:val="005A0F5F"/>
    <w:rsid w:val="005C33FF"/>
    <w:rsid w:val="005C7FA9"/>
    <w:rsid w:val="005D5C4D"/>
    <w:rsid w:val="00655F7F"/>
    <w:rsid w:val="006944D3"/>
    <w:rsid w:val="00694E73"/>
    <w:rsid w:val="006B5C9F"/>
    <w:rsid w:val="006E1188"/>
    <w:rsid w:val="006F1732"/>
    <w:rsid w:val="00701C53"/>
    <w:rsid w:val="007301C4"/>
    <w:rsid w:val="00740A17"/>
    <w:rsid w:val="00751EAE"/>
    <w:rsid w:val="007B0DFF"/>
    <w:rsid w:val="007E4A42"/>
    <w:rsid w:val="008601D2"/>
    <w:rsid w:val="008A11B1"/>
    <w:rsid w:val="008A34FC"/>
    <w:rsid w:val="00911A66"/>
    <w:rsid w:val="009272D9"/>
    <w:rsid w:val="0093797F"/>
    <w:rsid w:val="00984522"/>
    <w:rsid w:val="00991D47"/>
    <w:rsid w:val="00997281"/>
    <w:rsid w:val="009C0A9C"/>
    <w:rsid w:val="009D4705"/>
    <w:rsid w:val="00A05B88"/>
    <w:rsid w:val="00A22A49"/>
    <w:rsid w:val="00A8348A"/>
    <w:rsid w:val="00AA1A93"/>
    <w:rsid w:val="00AB445F"/>
    <w:rsid w:val="00AD5F54"/>
    <w:rsid w:val="00AF656C"/>
    <w:rsid w:val="00B130BB"/>
    <w:rsid w:val="00B50FF7"/>
    <w:rsid w:val="00B53CDF"/>
    <w:rsid w:val="00B67B93"/>
    <w:rsid w:val="00BB0EB7"/>
    <w:rsid w:val="00BC4AA6"/>
    <w:rsid w:val="00BC4F17"/>
    <w:rsid w:val="00C16CE7"/>
    <w:rsid w:val="00CC7B69"/>
    <w:rsid w:val="00D47F4F"/>
    <w:rsid w:val="00D52F2D"/>
    <w:rsid w:val="00D568B8"/>
    <w:rsid w:val="00D63CE8"/>
    <w:rsid w:val="00D94112"/>
    <w:rsid w:val="00DA6714"/>
    <w:rsid w:val="00DB48B5"/>
    <w:rsid w:val="00DF1C3B"/>
    <w:rsid w:val="00E028D5"/>
    <w:rsid w:val="00E0770F"/>
    <w:rsid w:val="00E35040"/>
    <w:rsid w:val="00E808B5"/>
    <w:rsid w:val="00EA6900"/>
    <w:rsid w:val="00EB381C"/>
    <w:rsid w:val="00EB61E5"/>
    <w:rsid w:val="00EC446F"/>
    <w:rsid w:val="00EE54F2"/>
    <w:rsid w:val="00EE655B"/>
    <w:rsid w:val="00F27C91"/>
    <w:rsid w:val="00F43C9A"/>
    <w:rsid w:val="00F52473"/>
    <w:rsid w:val="00FA16E2"/>
    <w:rsid w:val="00FE33DB"/>
    <w:rsid w:val="00FF4680"/>
    <w:rsid w:val="00FF4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A219DF"/>
  <w15:chartTrackingRefBased/>
  <w15:docId w15:val="{CEAC717C-89DC-4939-BC86-83528F2C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0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8B7"/>
  </w:style>
  <w:style w:type="paragraph" w:styleId="Footer">
    <w:name w:val="footer"/>
    <w:basedOn w:val="Normal"/>
    <w:link w:val="FooterChar"/>
    <w:uiPriority w:val="99"/>
    <w:unhideWhenUsed/>
    <w:rsid w:val="00060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8B7"/>
  </w:style>
  <w:style w:type="table" w:styleId="TableGrid">
    <w:name w:val="Table Grid"/>
    <w:basedOn w:val="TableNormal"/>
    <w:uiPriority w:val="39"/>
    <w:rsid w:val="00060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608B7"/>
    <w:rPr>
      <w:color w:val="808080"/>
    </w:rPr>
  </w:style>
  <w:style w:type="paragraph" w:styleId="ListParagraph">
    <w:name w:val="List Paragraph"/>
    <w:basedOn w:val="Normal"/>
    <w:uiPriority w:val="34"/>
    <w:qFormat/>
    <w:rsid w:val="000608B7"/>
    <w:pPr>
      <w:ind w:left="720"/>
      <w:contextualSpacing/>
    </w:pPr>
  </w:style>
  <w:style w:type="paragraph" w:customStyle="1" w:styleId="Default">
    <w:name w:val="Default"/>
    <w:rsid w:val="000608B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rsid w:val="00E028D5"/>
    <w:rPr>
      <w:color w:val="0000FF"/>
      <w:u w:val="single"/>
    </w:rPr>
  </w:style>
  <w:style w:type="character" w:styleId="FollowedHyperlink">
    <w:name w:val="FollowedHyperlink"/>
    <w:basedOn w:val="DefaultParagraphFont"/>
    <w:uiPriority w:val="99"/>
    <w:semiHidden/>
    <w:unhideWhenUsed/>
    <w:rsid w:val="00E028D5"/>
    <w:rPr>
      <w:color w:val="954F72" w:themeColor="followedHyperlink"/>
      <w:u w:val="single"/>
    </w:rPr>
  </w:style>
  <w:style w:type="paragraph" w:styleId="NormalWeb">
    <w:name w:val="Normal (Web)"/>
    <w:basedOn w:val="Normal"/>
    <w:uiPriority w:val="99"/>
    <w:semiHidden/>
    <w:unhideWhenUsed/>
    <w:rsid w:val="00F43C9A"/>
    <w:pPr>
      <w:spacing w:after="0" w:line="270" w:lineRule="atLeast"/>
    </w:pPr>
    <w:rPr>
      <w:rFonts w:ascii="Arial" w:eastAsia="Times New Roman" w:hAnsi="Arial" w:cs="Arial"/>
      <w:color w:val="000000"/>
      <w:sz w:val="20"/>
      <w:szCs w:val="20"/>
    </w:rPr>
  </w:style>
  <w:style w:type="paragraph" w:styleId="NoSpacing">
    <w:name w:val="No Spacing"/>
    <w:uiPriority w:val="1"/>
    <w:qFormat/>
    <w:rsid w:val="0041592B"/>
    <w:pPr>
      <w:spacing w:after="0" w:line="240" w:lineRule="auto"/>
    </w:pPr>
  </w:style>
  <w:style w:type="paragraph" w:styleId="BalloonText">
    <w:name w:val="Balloon Text"/>
    <w:basedOn w:val="Normal"/>
    <w:link w:val="BalloonTextChar"/>
    <w:uiPriority w:val="99"/>
    <w:semiHidden/>
    <w:unhideWhenUsed/>
    <w:rsid w:val="006F1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732"/>
    <w:rPr>
      <w:rFonts w:ascii="Segoe UI" w:hAnsi="Segoe UI" w:cs="Segoe UI"/>
      <w:sz w:val="18"/>
      <w:szCs w:val="18"/>
    </w:rPr>
  </w:style>
  <w:style w:type="character" w:styleId="CommentReference">
    <w:name w:val="annotation reference"/>
    <w:basedOn w:val="DefaultParagraphFont"/>
    <w:uiPriority w:val="99"/>
    <w:semiHidden/>
    <w:unhideWhenUsed/>
    <w:rsid w:val="00EE655B"/>
    <w:rPr>
      <w:sz w:val="16"/>
      <w:szCs w:val="16"/>
    </w:rPr>
  </w:style>
  <w:style w:type="paragraph" w:styleId="CommentText">
    <w:name w:val="annotation text"/>
    <w:basedOn w:val="Normal"/>
    <w:link w:val="CommentTextChar"/>
    <w:uiPriority w:val="99"/>
    <w:semiHidden/>
    <w:unhideWhenUsed/>
    <w:rsid w:val="00EE655B"/>
    <w:pPr>
      <w:spacing w:line="240" w:lineRule="auto"/>
    </w:pPr>
    <w:rPr>
      <w:sz w:val="20"/>
      <w:szCs w:val="20"/>
    </w:rPr>
  </w:style>
  <w:style w:type="character" w:customStyle="1" w:styleId="CommentTextChar">
    <w:name w:val="Comment Text Char"/>
    <w:basedOn w:val="DefaultParagraphFont"/>
    <w:link w:val="CommentText"/>
    <w:uiPriority w:val="99"/>
    <w:semiHidden/>
    <w:rsid w:val="00EE655B"/>
    <w:rPr>
      <w:sz w:val="20"/>
      <w:szCs w:val="20"/>
    </w:rPr>
  </w:style>
  <w:style w:type="paragraph" w:styleId="CommentSubject">
    <w:name w:val="annotation subject"/>
    <w:basedOn w:val="CommentText"/>
    <w:next w:val="CommentText"/>
    <w:link w:val="CommentSubjectChar"/>
    <w:uiPriority w:val="99"/>
    <w:semiHidden/>
    <w:unhideWhenUsed/>
    <w:rsid w:val="00EE655B"/>
    <w:rPr>
      <w:b/>
      <w:bCs/>
    </w:rPr>
  </w:style>
  <w:style w:type="character" w:customStyle="1" w:styleId="CommentSubjectChar">
    <w:name w:val="Comment Subject Char"/>
    <w:basedOn w:val="CommentTextChar"/>
    <w:link w:val="CommentSubject"/>
    <w:uiPriority w:val="99"/>
    <w:semiHidden/>
    <w:rsid w:val="00EE655B"/>
    <w:rPr>
      <w:b/>
      <w:bCs/>
      <w:sz w:val="20"/>
      <w:szCs w:val="20"/>
    </w:rPr>
  </w:style>
  <w:style w:type="paragraph" w:customStyle="1" w:styleId="xmsonormal">
    <w:name w:val="x_msonormal"/>
    <w:basedOn w:val="Normal"/>
    <w:rsid w:val="00A22A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54704">
      <w:bodyDiv w:val="1"/>
      <w:marLeft w:val="0"/>
      <w:marRight w:val="0"/>
      <w:marTop w:val="0"/>
      <w:marBottom w:val="0"/>
      <w:divBdr>
        <w:top w:val="none" w:sz="0" w:space="0" w:color="auto"/>
        <w:left w:val="none" w:sz="0" w:space="0" w:color="auto"/>
        <w:bottom w:val="none" w:sz="0" w:space="0" w:color="auto"/>
        <w:right w:val="none" w:sz="0" w:space="0" w:color="auto"/>
      </w:divBdr>
    </w:div>
    <w:div w:id="874077998">
      <w:bodyDiv w:val="1"/>
      <w:marLeft w:val="0"/>
      <w:marRight w:val="0"/>
      <w:marTop w:val="0"/>
      <w:marBottom w:val="0"/>
      <w:divBdr>
        <w:top w:val="none" w:sz="0" w:space="0" w:color="auto"/>
        <w:left w:val="none" w:sz="0" w:space="0" w:color="auto"/>
        <w:bottom w:val="none" w:sz="0" w:space="0" w:color="auto"/>
        <w:right w:val="none" w:sz="0" w:space="0" w:color="auto"/>
      </w:divBdr>
      <w:divsChild>
        <w:div w:id="1136338491">
          <w:marLeft w:val="0"/>
          <w:marRight w:val="0"/>
          <w:marTop w:val="0"/>
          <w:marBottom w:val="0"/>
          <w:divBdr>
            <w:top w:val="none" w:sz="0" w:space="0" w:color="auto"/>
            <w:left w:val="none" w:sz="0" w:space="0" w:color="auto"/>
            <w:bottom w:val="none" w:sz="0" w:space="0" w:color="auto"/>
            <w:right w:val="none" w:sz="0" w:space="0" w:color="auto"/>
          </w:divBdr>
          <w:divsChild>
            <w:div w:id="390661836">
              <w:marLeft w:val="0"/>
              <w:marRight w:val="0"/>
              <w:marTop w:val="0"/>
              <w:marBottom w:val="0"/>
              <w:divBdr>
                <w:top w:val="none" w:sz="0" w:space="0" w:color="auto"/>
                <w:left w:val="none" w:sz="0" w:space="0" w:color="auto"/>
                <w:bottom w:val="none" w:sz="0" w:space="0" w:color="auto"/>
                <w:right w:val="none" w:sz="0" w:space="0" w:color="auto"/>
              </w:divBdr>
              <w:divsChild>
                <w:div w:id="742216687">
                  <w:marLeft w:val="0"/>
                  <w:marRight w:val="0"/>
                  <w:marTop w:val="0"/>
                  <w:marBottom w:val="0"/>
                  <w:divBdr>
                    <w:top w:val="none" w:sz="0" w:space="0" w:color="auto"/>
                    <w:left w:val="none" w:sz="0" w:space="0" w:color="auto"/>
                    <w:bottom w:val="none" w:sz="0" w:space="0" w:color="auto"/>
                    <w:right w:val="none" w:sz="0" w:space="0" w:color="auto"/>
                  </w:divBdr>
                  <w:divsChild>
                    <w:div w:id="1569918174">
                      <w:marLeft w:val="0"/>
                      <w:marRight w:val="0"/>
                      <w:marTop w:val="0"/>
                      <w:marBottom w:val="0"/>
                      <w:divBdr>
                        <w:top w:val="none" w:sz="0" w:space="0" w:color="auto"/>
                        <w:left w:val="none" w:sz="0" w:space="0" w:color="auto"/>
                        <w:bottom w:val="none" w:sz="0" w:space="0" w:color="auto"/>
                        <w:right w:val="none" w:sz="0" w:space="0" w:color="auto"/>
                      </w:divBdr>
                      <w:divsChild>
                        <w:div w:id="2059695101">
                          <w:marLeft w:val="0"/>
                          <w:marRight w:val="0"/>
                          <w:marTop w:val="0"/>
                          <w:marBottom w:val="0"/>
                          <w:divBdr>
                            <w:top w:val="none" w:sz="0" w:space="0" w:color="auto"/>
                            <w:left w:val="none" w:sz="0" w:space="0" w:color="auto"/>
                            <w:bottom w:val="none" w:sz="0" w:space="0" w:color="auto"/>
                            <w:right w:val="none" w:sz="0" w:space="0" w:color="auto"/>
                          </w:divBdr>
                          <w:divsChild>
                            <w:div w:id="629676544">
                              <w:marLeft w:val="0"/>
                              <w:marRight w:val="0"/>
                              <w:marTop w:val="0"/>
                              <w:marBottom w:val="0"/>
                              <w:divBdr>
                                <w:top w:val="none" w:sz="0" w:space="0" w:color="auto"/>
                                <w:left w:val="none" w:sz="0" w:space="0" w:color="auto"/>
                                <w:bottom w:val="none" w:sz="0" w:space="0" w:color="auto"/>
                                <w:right w:val="none" w:sz="0" w:space="0" w:color="auto"/>
                              </w:divBdr>
                              <w:divsChild>
                                <w:div w:id="16547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389546">
      <w:bodyDiv w:val="1"/>
      <w:marLeft w:val="0"/>
      <w:marRight w:val="0"/>
      <w:marTop w:val="0"/>
      <w:marBottom w:val="0"/>
      <w:divBdr>
        <w:top w:val="none" w:sz="0" w:space="0" w:color="auto"/>
        <w:left w:val="none" w:sz="0" w:space="0" w:color="auto"/>
        <w:bottom w:val="none" w:sz="0" w:space="0" w:color="auto"/>
        <w:right w:val="none" w:sz="0" w:space="0" w:color="auto"/>
      </w:divBdr>
    </w:div>
    <w:div w:id="1165709021">
      <w:bodyDiv w:val="1"/>
      <w:marLeft w:val="0"/>
      <w:marRight w:val="0"/>
      <w:marTop w:val="0"/>
      <w:marBottom w:val="0"/>
      <w:divBdr>
        <w:top w:val="none" w:sz="0" w:space="0" w:color="auto"/>
        <w:left w:val="none" w:sz="0" w:space="0" w:color="auto"/>
        <w:bottom w:val="none" w:sz="0" w:space="0" w:color="auto"/>
        <w:right w:val="none" w:sz="0" w:space="0" w:color="auto"/>
      </w:divBdr>
      <w:divsChild>
        <w:div w:id="132985574">
          <w:marLeft w:val="0"/>
          <w:marRight w:val="0"/>
          <w:marTop w:val="0"/>
          <w:marBottom w:val="0"/>
          <w:divBdr>
            <w:top w:val="none" w:sz="0" w:space="0" w:color="auto"/>
            <w:left w:val="none" w:sz="0" w:space="0" w:color="auto"/>
            <w:bottom w:val="none" w:sz="0" w:space="0" w:color="auto"/>
            <w:right w:val="none" w:sz="0" w:space="0" w:color="auto"/>
          </w:divBdr>
          <w:divsChild>
            <w:div w:id="345130639">
              <w:marLeft w:val="0"/>
              <w:marRight w:val="0"/>
              <w:marTop w:val="0"/>
              <w:marBottom w:val="0"/>
              <w:divBdr>
                <w:top w:val="none" w:sz="0" w:space="0" w:color="auto"/>
                <w:left w:val="none" w:sz="0" w:space="0" w:color="auto"/>
                <w:bottom w:val="none" w:sz="0" w:space="0" w:color="auto"/>
                <w:right w:val="none" w:sz="0" w:space="0" w:color="auto"/>
              </w:divBdr>
              <w:divsChild>
                <w:div w:id="2035229329">
                  <w:marLeft w:val="0"/>
                  <w:marRight w:val="0"/>
                  <w:marTop w:val="0"/>
                  <w:marBottom w:val="0"/>
                  <w:divBdr>
                    <w:top w:val="none" w:sz="0" w:space="0" w:color="auto"/>
                    <w:left w:val="none" w:sz="0" w:space="0" w:color="auto"/>
                    <w:bottom w:val="none" w:sz="0" w:space="0" w:color="auto"/>
                    <w:right w:val="none" w:sz="0" w:space="0" w:color="auto"/>
                  </w:divBdr>
                  <w:divsChild>
                    <w:div w:id="335351101">
                      <w:marLeft w:val="0"/>
                      <w:marRight w:val="0"/>
                      <w:marTop w:val="0"/>
                      <w:marBottom w:val="0"/>
                      <w:divBdr>
                        <w:top w:val="none" w:sz="0" w:space="0" w:color="auto"/>
                        <w:left w:val="none" w:sz="0" w:space="0" w:color="auto"/>
                        <w:bottom w:val="none" w:sz="0" w:space="0" w:color="auto"/>
                        <w:right w:val="none" w:sz="0" w:space="0" w:color="auto"/>
                      </w:divBdr>
                      <w:divsChild>
                        <w:div w:id="713312508">
                          <w:marLeft w:val="0"/>
                          <w:marRight w:val="0"/>
                          <w:marTop w:val="0"/>
                          <w:marBottom w:val="0"/>
                          <w:divBdr>
                            <w:top w:val="none" w:sz="0" w:space="0" w:color="auto"/>
                            <w:left w:val="none" w:sz="0" w:space="0" w:color="auto"/>
                            <w:bottom w:val="none" w:sz="0" w:space="0" w:color="auto"/>
                            <w:right w:val="none" w:sz="0" w:space="0" w:color="auto"/>
                          </w:divBdr>
                          <w:divsChild>
                            <w:div w:id="1189180812">
                              <w:marLeft w:val="0"/>
                              <w:marRight w:val="0"/>
                              <w:marTop w:val="0"/>
                              <w:marBottom w:val="0"/>
                              <w:divBdr>
                                <w:top w:val="none" w:sz="0" w:space="0" w:color="auto"/>
                                <w:left w:val="none" w:sz="0" w:space="0" w:color="auto"/>
                                <w:bottom w:val="none" w:sz="0" w:space="0" w:color="auto"/>
                                <w:right w:val="none" w:sz="0" w:space="0" w:color="auto"/>
                              </w:divBdr>
                              <w:divsChild>
                                <w:div w:id="1071345133">
                                  <w:marLeft w:val="0"/>
                                  <w:marRight w:val="0"/>
                                  <w:marTop w:val="0"/>
                                  <w:marBottom w:val="0"/>
                                  <w:divBdr>
                                    <w:top w:val="none" w:sz="0" w:space="0" w:color="auto"/>
                                    <w:left w:val="none" w:sz="0" w:space="0" w:color="auto"/>
                                    <w:bottom w:val="none" w:sz="0" w:space="0" w:color="auto"/>
                                    <w:right w:val="none" w:sz="0" w:space="0" w:color="auto"/>
                                  </w:divBdr>
                                  <w:divsChild>
                                    <w:div w:id="180511602">
                                      <w:marLeft w:val="0"/>
                                      <w:marRight w:val="0"/>
                                      <w:marTop w:val="0"/>
                                      <w:marBottom w:val="0"/>
                                      <w:divBdr>
                                        <w:top w:val="none" w:sz="0" w:space="0" w:color="auto"/>
                                        <w:left w:val="none" w:sz="0" w:space="0" w:color="auto"/>
                                        <w:bottom w:val="none" w:sz="0" w:space="0" w:color="auto"/>
                                        <w:right w:val="none" w:sz="0" w:space="0" w:color="auto"/>
                                      </w:divBdr>
                                      <w:divsChild>
                                        <w:div w:id="3285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895239">
      <w:bodyDiv w:val="1"/>
      <w:marLeft w:val="0"/>
      <w:marRight w:val="0"/>
      <w:marTop w:val="0"/>
      <w:marBottom w:val="0"/>
      <w:divBdr>
        <w:top w:val="none" w:sz="0" w:space="0" w:color="auto"/>
        <w:left w:val="none" w:sz="0" w:space="0" w:color="auto"/>
        <w:bottom w:val="none" w:sz="0" w:space="0" w:color="auto"/>
        <w:right w:val="none" w:sz="0" w:space="0" w:color="auto"/>
      </w:divBdr>
      <w:divsChild>
        <w:div w:id="617878282">
          <w:marLeft w:val="0"/>
          <w:marRight w:val="0"/>
          <w:marTop w:val="0"/>
          <w:marBottom w:val="0"/>
          <w:divBdr>
            <w:top w:val="none" w:sz="0" w:space="0" w:color="auto"/>
            <w:left w:val="none" w:sz="0" w:space="0" w:color="auto"/>
            <w:bottom w:val="none" w:sz="0" w:space="0" w:color="auto"/>
            <w:right w:val="none" w:sz="0" w:space="0" w:color="auto"/>
          </w:divBdr>
          <w:divsChild>
            <w:div w:id="86384586">
              <w:marLeft w:val="0"/>
              <w:marRight w:val="0"/>
              <w:marTop w:val="0"/>
              <w:marBottom w:val="0"/>
              <w:divBdr>
                <w:top w:val="none" w:sz="0" w:space="0" w:color="auto"/>
                <w:left w:val="none" w:sz="0" w:space="0" w:color="auto"/>
                <w:bottom w:val="none" w:sz="0" w:space="0" w:color="auto"/>
                <w:right w:val="none" w:sz="0" w:space="0" w:color="auto"/>
              </w:divBdr>
              <w:divsChild>
                <w:div w:id="1402211139">
                  <w:marLeft w:val="0"/>
                  <w:marRight w:val="300"/>
                  <w:marTop w:val="0"/>
                  <w:marBottom w:val="0"/>
                  <w:divBdr>
                    <w:top w:val="none" w:sz="0" w:space="0" w:color="auto"/>
                    <w:left w:val="none" w:sz="0" w:space="0" w:color="auto"/>
                    <w:bottom w:val="none" w:sz="0" w:space="0" w:color="auto"/>
                    <w:right w:val="none" w:sz="0" w:space="0" w:color="auto"/>
                  </w:divBdr>
                  <w:divsChild>
                    <w:div w:id="196550914">
                      <w:marLeft w:val="0"/>
                      <w:marRight w:val="0"/>
                      <w:marTop w:val="0"/>
                      <w:marBottom w:val="0"/>
                      <w:divBdr>
                        <w:top w:val="none" w:sz="0" w:space="0" w:color="auto"/>
                        <w:left w:val="none" w:sz="0" w:space="0" w:color="auto"/>
                        <w:bottom w:val="none" w:sz="0" w:space="0" w:color="auto"/>
                        <w:right w:val="none" w:sz="0" w:space="0" w:color="auto"/>
                      </w:divBdr>
                      <w:divsChild>
                        <w:div w:id="1885865551">
                          <w:marLeft w:val="0"/>
                          <w:marRight w:val="150"/>
                          <w:marTop w:val="0"/>
                          <w:marBottom w:val="0"/>
                          <w:divBdr>
                            <w:top w:val="none" w:sz="0" w:space="0" w:color="auto"/>
                            <w:left w:val="none" w:sz="0" w:space="0" w:color="auto"/>
                            <w:bottom w:val="none" w:sz="0" w:space="0" w:color="auto"/>
                            <w:right w:val="none" w:sz="0" w:space="0" w:color="auto"/>
                          </w:divBdr>
                          <w:divsChild>
                            <w:div w:id="658072272">
                              <w:marLeft w:val="0"/>
                              <w:marRight w:val="0"/>
                              <w:marTop w:val="300"/>
                              <w:marBottom w:val="225"/>
                              <w:divBdr>
                                <w:top w:val="single" w:sz="6" w:space="0" w:color="D6D6D6"/>
                                <w:left w:val="none" w:sz="0" w:space="0" w:color="auto"/>
                                <w:bottom w:val="single" w:sz="6" w:space="0" w:color="D6D6D6"/>
                                <w:right w:val="none" w:sz="0" w:space="0" w:color="auto"/>
                              </w:divBdr>
                              <w:divsChild>
                                <w:div w:id="2031104762">
                                  <w:marLeft w:val="0"/>
                                  <w:marRight w:val="225"/>
                                  <w:marTop w:val="0"/>
                                  <w:marBottom w:val="0"/>
                                  <w:divBdr>
                                    <w:top w:val="none" w:sz="0" w:space="0" w:color="auto"/>
                                    <w:left w:val="none" w:sz="0" w:space="0" w:color="auto"/>
                                    <w:bottom w:val="none" w:sz="0" w:space="0" w:color="auto"/>
                                    <w:right w:val="none" w:sz="0" w:space="0" w:color="auto"/>
                                  </w:divBdr>
                                  <w:divsChild>
                                    <w:div w:id="1602951960">
                                      <w:marLeft w:val="0"/>
                                      <w:marRight w:val="0"/>
                                      <w:marTop w:val="0"/>
                                      <w:marBottom w:val="0"/>
                                      <w:divBdr>
                                        <w:top w:val="none" w:sz="0" w:space="0" w:color="auto"/>
                                        <w:left w:val="none" w:sz="0" w:space="0" w:color="auto"/>
                                        <w:bottom w:val="single" w:sz="6" w:space="0" w:color="D6D6D6"/>
                                        <w:right w:val="none" w:sz="0" w:space="0" w:color="auto"/>
                                      </w:divBdr>
                                      <w:divsChild>
                                        <w:div w:id="776145146">
                                          <w:marLeft w:val="0"/>
                                          <w:marRight w:val="0"/>
                                          <w:marTop w:val="0"/>
                                          <w:marBottom w:val="0"/>
                                          <w:divBdr>
                                            <w:top w:val="none" w:sz="0" w:space="0" w:color="auto"/>
                                            <w:left w:val="none" w:sz="0" w:space="0" w:color="auto"/>
                                            <w:bottom w:val="single" w:sz="6" w:space="0" w:color="D6D6D6"/>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tpl=/ecfrbrowse/Title02/2cfr200_main_02.t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R:\ORSP%20-%20%20Grants%20&amp;%20Contracts\Proposal%20Preparation\About%20JU\Financial%20info%20and%20forms\Current%20IDC%20Rate%20Agreement.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CB187-77F2-4F54-87A5-3173A4F98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 Renee</dc:creator>
  <cp:keywords/>
  <dc:description/>
  <cp:lastModifiedBy>Rossi, Renee</cp:lastModifiedBy>
  <cp:revision>2</cp:revision>
  <cp:lastPrinted>2018-05-31T16:50:00Z</cp:lastPrinted>
  <dcterms:created xsi:type="dcterms:W3CDTF">2019-06-14T13:56:00Z</dcterms:created>
  <dcterms:modified xsi:type="dcterms:W3CDTF">2019-06-14T13:56:00Z</dcterms:modified>
</cp:coreProperties>
</file>